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585/2021 vom 13. Dezember 2021</w:t>
      </w:r>
    </w:p>
    <w:p>
      <w:r>
        <w:t>Bundesgericht, 2021-12-13, FR</w:t>
      </w:r>
    </w:p>
    <w:p>
      <w:r>
        <w:rPr>
          <w:b/>
        </w:rPr>
        <w:t xml:space="preserve">Quelle: </w:t>
      </w:r>
      <w:r>
        <w:t>https://mcp.opencaselaw.ch/entscheid/bger_5A_585_2021</w:t>
      </w:r>
    </w:p>
    <w:p>
      <w:r>
        <w:t>FR: TF 5A 585/2021 du 13 décembre 2021</w:t>
      </w:r>
    </w:p>
    <w:p>
      <w:r>
        <w:t>IT: TF 5A 585/2021 del 13 dicembre 2021</w:t>
      </w:r>
    </w:p>
    <w:p>
      <w:pPr>
        <w:pStyle w:val="Heading2"/>
      </w:pPr>
      <w:r>
        <w:t>Regeste</w:t>
      </w:r>
    </w:p>
    <w:p>
      <w:r>
        <w:t>divorce (contribution d'entretien)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rendue par une autorité supérieure statuant en dernière instance cantonale et sur recours ( art. 75 LTF ), dans une affaire civile ( art. 72 al. 1 LTF ) de nature pécuniaire dont la valeur litigieuse atteint le seuil de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144 II 313 consid. 5.1;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w:t>
      </w:r>
    </w:p>
    <w:p>
      <w:r>
        <w:rPr>
          <w:b/>
        </w:rPr>
        <w:t>E. 3</w:t>
      </w:r>
    </w:p>
    <w:p>
      <w:r>
        <w:t>Dans un grief d'ordre formel qu'il convient d'examiner en premier lieu ( ATF 141 V 557 consid. 3), le recourant se plaint d'une violation de son droit d'être entendu en tant que la cour cantonale a décidé d'appliquer d'office une autre méthode de calcul de la contribution d'entretien que celle revendiquée par les parties en appel et suivie par toutes les autorités saisies de cette question depuis la séparation du couple.</w:t>
      </w:r>
    </w:p>
    <w:p>
      <w:r>
        <w:rPr>
          <w:b/>
        </w:rPr>
        <w:t>E. 3.1</w:t>
      </w:r>
    </w:p>
    <w:p>
      <w:r>
        <w:t>La jurisprudence a déduit de l' 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 ATF 145 I 73 consid. 7.2.2.1, 167 consid. 4.1; 135 II 286 consid. 5.1; 133 I 270 consid. 3.1; 132 II 485 consid. 3.2; 127 I 54 consid. 2b). En effet, le droit d'être entendu est à la fois une institution servant à l'instruction de la cause et une faculté de la partie, en rapport avec sa personne, de participer au prononcé de décisions qui lèsent sa situation juridique ( ATF 126 I 15 consid. 2a/aa; 124 I 49 consid. 3a, 241 consid. 2; arrêt 4A_364/2015 du 13 avril 2016 consid. 2.2, non publié in ATF 142 III 355 ). Le droit de s'exprimer sur tous les points importants avant qu'une décision ne soit prise s'applique sans restriction pour les questions de fait. Pour ce qui est de la qualification juridique de ceux-ci, ce droit ne vaut que lorsqu'une partie change inopinément son point de vue juridique ou lorsqu'une autorité envisage de fonder sa décision sur une norme ou un motif juridique qui n'a jamais été évoqué au cours de la procédure et dont aucune des parties ne s'était prévalu, ni ne pouvait supputer la pertinence, lorsque la situation juridique a changé ou lorsqu'il existe un pouvoir d'appréciation particulièrement large ( ATF 145 IV 99 consid. 3.1; 145 I 167 consid. 4.1; 130 III 35 consid. 5; 129 II 497 consid. 2.2; 128 V 272 consid. 5b/bb; 126 I 19 consid. 2c/aa; 124 I 49 consid. 3c; arrêts 4A_252/2021 du 6 octobre 2021 consid. 4.1; 6B_1029/2020 du 5 octobre 2021 consid. 2.1).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 ATF 145 I 167 consid. 4.4; 142 II 218 consid. 2.8.1; 137 I 195 consid. 2.3.2 et les arrêts cités). Une telle réparation doit rester l'exception et n'est admissible, en principe, que dans l'hypothèse d'une atteinte aux droits procéduraux de la partie lésée qui n'est pas particulièrement grave ( ATF 142 II 218 consid. 2.8.1; 135 I 276 consid. 2.6.1; 126 I 68 consid. 2).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 136 V 117 consid. 4.2.2.2 et les arrêts cités).</w:t>
      </w:r>
    </w:p>
    <w:p>
      <w:r>
        <w:rPr>
          <w:b/>
        </w:rPr>
        <w:t>E. 3.2</w:t>
      </w:r>
    </w:p>
    <w:p>
      <w:r>
        <w:t>En l'espèce, alors que le tribunal de première instance avait appliqué la méthode de calcul fondée sur les dépenses nécessaires au maintien du train de vie (méthode en une étape) pour fixer les contributions d'entretien, et que cette méthode n'était remise en cause par aucune des parties, l'autorité cantonale a décidé d'en changer pour appliquer celle du minimum vital avec répartition de l'excédent (méthode en deux étapes), estimant que la nouvelle jurisprudence du Tribunal fédéral ( ATF 147 III 265 et 147 III 293) était directement applicable à la présente procédure et que, même sans prendre en considération dite jurisprudence, il ne s'imposait de toute façon pas de calculer la pension de l'épouse en utilisant la méthode fondée sur les dépenses effectives.</w:t>
      </w:r>
    </w:p>
    <w:p>
      <w:r>
        <w:rPr>
          <w:b/>
        </w:rPr>
        <w:t>E. 3.3</w:t>
      </w:r>
    </w:p>
    <w:p>
      <w:r>
        <w:t>Il ne ressort ni de l'arrêt attaqué, ni du dossier que la méthode de calcul retenue par la cour cantonale ait jamais été évoquée au cours de la procédure ou que l'une ou l'autre des parties s'en soit prévalue. L'application de la méthode du minimum vital avec répartition de l'excédent ne pouvait dès lors pas être raisonnablement prévue par le recourant, ce d'autant que le dépôt de son appel, le 20 mai 2020, est antérieur à la nouvelle jurisprudence du Tribunal de céans abandonnant le pluralisme des méthodes au profit de celle en deux étapes. En conséquence, en n'accordant pas au recourant la faculté de s'exprimer sur la nouvelle méthode de calcul sur laquelle elle entendait se fonder, l'autorité cantonale a violé son droit d'être entendu. En outre, lorsque les juges précédents - suivis par l'intimée dans sa réponse au présent recours - indiquent que l'on ne voit de toute façon pas que la méthode du train de vie antérieur doive s'appliquer au cas d'espèce, ils paraissent perdre de vue que, dans le cadre du respect du droit d'être entendu en lien avec une argumentation nouvelle, il ne leur appartient pas de préjuger de la pertinence des éventuels arguments juridiques qui pourraient être soulevés devant eux quant au bien-fondé de la méthode jusqu'alors revendiquée par les deux parties. La violation du droit d'être entendu ici constatée ne peut pas être considérée comme guérie au cours de l'instance fédérale, puisqu'au travers de la problématique de la méthode de calcul applicable, ce ne sont pas uniquement des questions de droit qui sont controversées, mais également des questions de fait, que le Tribunal fédéral ne peut pas revoir librement (cf. art. 105 LTF ). Par ailleurs, le renvoi de la cause à l'instance précédente pour nouvelle décision n'apparaît pas comme une vaine formalité, incompatible avec l'intérêt du recourant à ce que sa cause soit tranchée dans un délai raisonnable. Il suit de là que le grief de violation du droit d'être entendu formulé par le recourant doit être admis. La décision entreprise sera par conséquent annulée et la cause renvoyée à l'autorité cantonale pour qu'elle statue à nouveau, en donnant l'occasion aux parties de se déterminer sur la méthode de calcul applicable à la contribution d'entretien post-divorce en faveur de l'épouse. Un tel résultat dispense le Tribunal fédéral d'examiner les autres griefs du recourant.</w:t>
      </w:r>
    </w:p>
    <w:p>
      <w:r>
        <w:rPr>
          <w:b/>
        </w:rPr>
        <w:t>E. 4</w:t>
      </w:r>
    </w:p>
    <w:p>
      <w:r>
        <w:t>Pour les motifs qui viennent d'être exposés, le recours doit être admis. L'arrêt attaqué est annulé et la cause renvoyée à l'autorité précédente pour qu'elle rende une nouvelle décision au sens des considérants. Le recourant obtient gain de cause, de sorte que l'intimée supportera les frais de la présente procédure ( art. 66 al. 1 LTF ) et lui versera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