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5A_584/2023 vom 15. August 2023</w:t>
      </w:r>
    </w:p>
    <w:p>
      <w:r>
        <w:t>Bundesgericht, 2023-08-15, DE</w:t>
      </w:r>
    </w:p>
    <w:p>
      <w:r>
        <w:rPr>
          <w:b/>
        </w:rPr>
        <w:t xml:space="preserve">Quelle: </w:t>
      </w:r>
      <w:r>
        <w:t>https://mcp.opencaselaw.ch/entscheid/bger_5A_584_2023</w:t>
      </w:r>
    </w:p>
    <w:p>
      <w:r>
        <w:t>FR: TF 5A_584/2023 du 15 août 2023</w:t>
      </w:r>
    </w:p>
    <w:p>
      <w:r>
        <w:t>IT: TF 5A_584/2023 del 15 agosto 2023</w:t>
      </w:r>
    </w:p>
    <w:p>
      <w:pPr>
        <w:pStyle w:val="Heading2"/>
      </w:pPr>
      <w:r>
        <w:t>Erwägungen</w:t>
      </w:r>
    </w:p>
    <w:p>
      <w:r>
        <w:rPr>
          <w:b/>
        </w:rPr>
        <w:t>E. 1</w:t>
      </w:r>
    </w:p>
    <w:p>
      <w:r>
        <w:t>Anfechtungsobjekt im bundesgerichtlichen Verfahren kann nur ein kantonal letztinstanzlicher Entscheid sein, wie er mit der Verfügung vom 27. Juli 2023 vorliegt. Gegen einen Strafbefehl wäre zuerst der Instanzenzug zu durchlaufen.</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Beschwerdeführer legt in seiner polemischen und in der Sache kaum verständlichen Eingabe nicht dar, dass und inwiefern er im kantonalen Rechtsmittelverfahren Anträge gestellt und seine Beschwerde hinreichend begründet hätte. Sinngemäss bringt er zum Ausdruck, dass ihm die unentgeltliche Rechtspflege zu erteilen gewesen wäre. Dies betrifft aber nicht die Eintretensfrage im Rechtsmittelverfahren, sondern diejenige im erstinstanzlichen Verfahren.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