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5A_584/2022 vom 18. Januar 2023</w:t>
      </w:r>
    </w:p>
    <w:p>
      <w:r>
        <w:t>Bundesgericht, 2023-01-18, FR</w:t>
      </w:r>
    </w:p>
    <w:p>
      <w:r>
        <w:rPr>
          <w:b/>
        </w:rPr>
        <w:t xml:space="preserve">Quelle: </w:t>
      </w:r>
      <w:r>
        <w:t>https://mcp.opencaselaw.ch/entscheid/bger_5A_584_2022</w:t>
      </w:r>
    </w:p>
    <w:p>
      <w:r>
        <w:t>FR: TF 5A_584/2022 du 18 janvier 2023</w:t>
      </w:r>
    </w:p>
    <w:p>
      <w:r>
        <w:t>IT: TF 5A_584/2022 del 18 gennaio 2023</w:t>
      </w:r>
    </w:p>
    <w:p>
      <w:pPr>
        <w:pStyle w:val="Heading2"/>
      </w:pPr>
      <w:r>
        <w:t>Erwägungen</w:t>
      </w:r>
    </w:p>
    <w:p>
      <w:r>
        <w:rPr>
          <w:b/>
        </w:rPr>
        <w:t>E. 1</w:t>
      </w:r>
    </w:p>
    <w:p>
      <w:r>
        <w:t>Les conditions du recours en matière civile sont ici réalisées ( art. 72 al. 1 LTF ; art. 74 al. 1 let. b LTF et 51 al. 1 let. a et al. 4 LTF; art. 75 LTF ; art. 76 al. 1 let. a et b LTF ; art. 90 LTF [ ATF 134 III 426 consid. 2.2]; art. 100 al. 1 et 46 al. 2 let. a LTF).</w:t>
      </w:r>
    </w:p>
    <w:p>
      <w:r>
        <w:rPr>
          <w:b/>
        </w:rPr>
        <w:t>E. 2.1</w:t>
      </w:r>
    </w:p>
    <w:p>
      <w:r>
        <w:t>Lorsque, comme en l'espèce, la décision attaquée porte sur des mesures provisionnelles au sens de l' art. 98 LTF , le recourant ne peut se plaindre que de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Le Tribunal fédéral n'entre pas en matière sur les critiques de nature appellatoire ( ATF 146 IV 114 consid. 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reproche en substance à la juge unique d'avoir arbitrairement refusé d'admettre son incapacité de travail totale, fait nouveau qu'il invoquait à l'appui de sa requête de modification de mesures provisionnelles en vue d'être délié de son obligation d'entretien envers ses enfants et d'obtenir une contribution d'entretien de la part de l'intimée.</w:t>
      </w:r>
    </w:p>
    <w:p>
      <w:r>
        <w:rPr>
          <w:b/>
        </w:rPr>
        <w:t>E. 3.1.1</w:t>
      </w:r>
    </w:p>
    <w:p>
      <w:r>
        <w:t>Conformément à la maxime inquisitoire illimitée ( art. 296 al. 1 CPC ), le juge saisi de questions relatives aux enfants dans les affaires de droit de la famille a le devoir d'éclaircir les faits et de prendre en considération d'office tous les éléments qui peuvent être importants pour rendre une décision conforme à l'intérêt de l'enfant. Il n'est lié ni par les faits allégués, ni par les faits admis, ni par les moyens de preuve invoqués par les parties; il ordonne d'office l'administration de tous les moyens de preuve propres et nécessaires à établir les faits pertinents ( ATF 144 III 349 consid. 4.2.1 et les références; arrêt 5A_647/2021 du 19 novembre 2021 consid. 4.2.1 et les références).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 ATF 128 III 411 consid. 3.2.1 et les références).</w:t>
      </w:r>
    </w:p>
    <w:p>
      <w:r>
        <w:rPr>
          <w:b/>
        </w:rPr>
        <w:t>E. 3.1.2</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(arrêts 5A_1040/2020 du 8 juin 2021 consid. 3.1.2; 5A_836/2015 du 8 avril 2016 consid. 5.2). Le dépôt de n'importe quel certificat médical ne suffit cependant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 ATF 134 V 231 consid. 5.1; 125 V 351 consid. 3a; arrêt 5A_799/2021 du 12 avril 2022 consid. 3.2.2 et les références). Une attestation médicale qui relève l'existence d'une incapacité de travail sans autres explications n'a ainsi pas une grande force probante (arrêt 5A_799/2021 précité</w:t>
      </w:r>
    </w:p>
    <w:p>
      <w:r>
        <w:t>ibid . et la référence).</w:t>
      </w:r>
    </w:p>
    <w:p>
      <w:r>
        <w:rPr>
          <w:b/>
        </w:rPr>
        <w:t>E. 3.2</w:t>
      </w:r>
    </w:p>
    <w:p>
      <w:r>
        <w:t>La juge cantonale a considéré que, vu la situation modeste des parties et les obligations parentales du recourant envers ses deux enfants mineurs, il convenait d'examiner avec sévérité le caractère exigible de l'exercice d'une activité lucrative. Or, et contrairement au premier juge, la magistrate cantonale a retenu que le recourant n'était pas parvenu à établir son incapacité de travail et ainsi la modification importante et durable de sa situation financière, vu la faible valeur probante des documents produits à cette fin. Les certificats médicaux dont il se prévalait indiquaient uniquement une incapacité de travail à 100% de mai 2021 à avril 2022; si ces attestations avaient certes été établies par un médecin spécialiste (psychiatre), elles n'expliquaient pas les raisons médicales qui empêcheraient l'intéressé de travailler, ni sur quels examens ce médecin se fondait; l'on ne savait ainsi rien de la pathologie du recourant et l'on ignorait tout des raisons pour lesquelles il ne pourrait exercer aucune activité lucrative. Le fait ensuite que l'Office AI eût considéré qu'aucune mesure de réadaptation n'était possible en raison de "l'état de santé" du recourant n'y changeait rien dès lors que l'on ne connaissait pas non plus les éléments sur lesquels le médecin s'était fondé pour parvenir à cette conclusion; l'AI ne s'était d'ailleurs toujours pas prononcée sur la question de l'octroi d'une rente. La juge unique a ainsi rejeté la requête de modification de mesures provisionnelles que le recourant avait déposée le 17 novembre 2021 et maintenu son obligation d'entretien envers ses enfants à hauteur de 235 fr. par mois dès le 1er février 2021, son épouse étant pour sa part dispensée du paiement d'une contribution d'entretien en sa faveur dès la même date.</w:t>
      </w:r>
    </w:p>
    <w:p>
      <w:r>
        <w:rPr>
          <w:b/>
        </w:rPr>
        <w:t>E. 3.3.1</w:t>
      </w:r>
    </w:p>
    <w:p>
      <w:r>
        <w:t>La motivation que développe le recourant quant à l'appréciation des moyens de preuve soumis au tribunal ne permet pas de faire apparaître l'arbitraire de celle-ci, ses critiques étant essentiellement appellatoires. Il en est ainsi lorsqu'il affirme, au sujet des certificats médicaux produits, que "le commun des mortels comprend clairement qu'une personne en arrêt à 100%... ne peut pas travailler du tout", que, vu la spécialisation du médecin qui avait établi le certificat, il serait aisé de déduire la nature des affections dont il souffrait, "au moins dans les grandes lignes", que "l'un dans l'autre, point n'[était] besoin d'être expert médical pour se rendre compte que [s]es problèmes de santé physique [...avaient] fini par atteindre son esprit et le plonger dans la dépression". Le simple renvoi à l'ordonnance de mesures provisionnelles du 15 mars 2022 et à son appréciation qui lui est favorable n'est d'ailleurs d'aucun secours au recourant, un tel procédé étant inadmissible ( ATF 133 II 395 consid. 3.2). Le recourant est également malvenu de se réfugier derrière le secret médical et son droit au respect à la vie privée pour justifier le caractère lacunaire des certificats sur lesquels il s'appuie. Contrairement à ce qu'il paraît déduire de la motivation cantonale, il ne s'agit pas d'exiger de lui un rapport complet, décrivant précisément les affections dont il souffre ainsi que leur évolution, mais uniquement une description claire de son atteinte à la santé et les raisons de son impact éventuel sur sa capacité de travail, étant incontesté que la simple indication d'une incapacité de travail pour cause de "maladie" est insuffisante au regard de la jurisprudence susmentionnée. Prétendre que l'arrêt entrepris "ruinerait définitivement toute chance d'obtenir une nouvelle décision, quel que soit son état de santé, du moins pour plusieurs années" apparaît ainsi pour le moins excessif.</w:t>
      </w:r>
    </w:p>
    <w:p>
      <w:r>
        <w:t>L'on relèvera encore que le recourant ne conteste pas non plus l'appréciation cantonale selon laquelle la décision AI ne permettait pas de retenir les éléments sur lesquels s'était fondé le médecin pour conclure qu'aucune mesure de réadaptation n'était ici possible: se limiter à affirmer à cet égard que le texte de cette décision était claire en ce sens qu'"il n'[était] pas apte une mesure de réadaptation, point" est manifestement insuffisant.</w:t>
      </w:r>
    </w:p>
    <w:p>
      <w:r>
        <w:rPr>
          <w:b/>
        </w:rPr>
        <w:t>E. 3.3.2</w:t>
      </w:r>
    </w:p>
    <w:p>
      <w:r>
        <w:t>Déterminer si, conformément à la maxime inquisitoire (consid. 3.1.1</w:t>
      </w:r>
    </w:p>
    <w:p>
      <w:r>
        <w:t>supra ) et vu le caractère lacunaire des certificats médicaux produits, la juge unique aurait dû éclaircir la question de l'incapacité de travail du recourant peut rester indécis: celui-ci n'invoque en effet nullement l'application arbitraire de l' art. 296 al. 1 CPC , en sorte que le Tribunal fédéral n'a pas à examiner cette question (consid. 2.1</w:t>
      </w:r>
    </w:p>
    <w:p>
      <w:r>
        <w:t>supra ).</w:t>
      </w:r>
    </w:p>
    <w:p>
      <w:r>
        <w:rPr>
          <w:b/>
        </w:rPr>
        <w:t>E. 4</w:t>
      </w:r>
    </w:p>
    <w:p>
      <w:r>
        <w:t>En définitive, le recours est rejeté dans la faible mesure de sa recevabilité. En tant que les conclusions du recourant étaient d'emblée vouées à l'échec, sa requête d'assistance judiciaire doit être rejetée ( art. 64 al. 1 LTF ) et les frais judiciaires mis à sa charge ( art. 66 al. 1 LTF ). Aucune indemnité de dépens n'est attribuée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