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584/2020 vom 8. Dezember 2020</w:t>
      </w:r>
    </w:p>
    <w:p>
      <w:r>
        <w:t>Bundesgericht, 2020-12-08, FR</w:t>
      </w:r>
    </w:p>
    <w:p>
      <w:r>
        <w:rPr>
          <w:b/>
        </w:rPr>
        <w:t xml:space="preserve">Quelle: </w:t>
      </w:r>
      <w:r>
        <w:t>https://mcp.opencaselaw.ch/entscheid/bger_5A_584_2020</w:t>
      </w:r>
    </w:p>
    <w:p>
      <w:r>
        <w:t>FR: TF 5A 584/2020 du 8 décembre 2020</w:t>
      </w:r>
    </w:p>
    <w:p>
      <w:r>
        <w:t>IT: TF 5A 584/2020 del 8 dicembre 2020</w:t>
      </w:r>
    </w:p>
    <w:p>
      <w:pPr>
        <w:pStyle w:val="Heading2"/>
      </w:pPr>
      <w:r>
        <w:t>Regeste</w:t>
      </w:r>
    </w:p>
    <w:p>
      <w:r>
        <w:t>inscription d'une faillite au Registre du commerce | 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Selon l' art. 76 al. 1 let. b LTF , le recourant doit avoir un intérêt digne de protection à l'annulation de la décision attaquée. L'intérêt digne de protection consiste dans l'utilité pratique que l'admission du recours apporterait à son auteur, en lui évitant de subir un préjudice de nature économique, idéale, matérielle ou autre que la décision attaquée lui occasionnerait ( ATF 137 II 40 consid. 2.3). En effet, le Tribunal fédéral ne prononce que sur des questions concrètes et non pas théoriques ( ATF 136 I 274 consid. 1.3; 131 I 153 consid. 1.2). L'intérêt doit être actuel, c'est-à-dire qu'il doit exister non seulement au moment du dépôt du recours, mais encore au moment où l'arrêt est rendu ( ATF 137 I 296 consid. 4.2; 137 II 40 consid. 2.1). Il fait défaut en particulier lorsque la décision attaquée a été exécutée ou est devenue sans objet (ATF 125 II II 86 consid. 5b; 120 Ia 165 consid. 1a). Il incombe au recourant d'alléguer les faits qu'il considère comme propres à fonder sa qualité pour recourir au Tribunal fédéral selon l' art. 76 LTF , lorsqu'ils ne ressortent pas à l'évidence de la décision attaquée ou du dossier de la cause ( ATF 133 II 353 consid. 1). Le Tribunal fédéral déclare le recours irrecevable lorsque l'intérêt digne de protection fait défaut au moment du dépôt du recours ( ATF 142 I 135 consid. 1.3.1 et les références).</w:t>
      </w:r>
    </w:p>
    <w:p>
      <w:r>
        <w:rPr>
          <w:b/>
        </w:rPr>
        <w:t>E. 1.2</w:t>
      </w:r>
    </w:p>
    <w:p>
      <w:r>
        <w:t>En l'espèce, l'inscription au registre du commerce dont la recourante conteste la légalité non seulement a déjà été portée au registre, mais celle indiquant que la restitution de délai et l'annulation du prononcé de faillite y figure aussi. Or, la recourante se contente d'affirmer avoir un intérêt digne de protection à recourir. Même si on comprend de la motivation de son grief tiré de la violation de l' art. 159 ORC que, selon elle, le prononcé de sa faillite du 9 mars 2020 n'aurait jamais dû figurer au registre compte tenu de sa requête en restitution de délai, son intérêt à recourir n'est pas démontré. A supposer qu'elle entende faire valoir un désagrément commercial en raison de sa faillite, celui-ci ne constitue pas un préjudice au sens susrappelé. En outre, il faut rappeler que la publication a déjà été faite et corrigée et que, dans tous les cas, les informations sur poursuites dirigées contre la recourante, dont celle ayant donné lieu à la requête de faillite du créancier au bénéfice de la commination de faillite, sont de toute façon accessibles au public aux conditions de l' art. 8a LP . Il suit de là que le recours en matière civile est irrecevable, faute d'intérêt au sens de l' art. 76 al. 1 LTF , aux frais de son auteur ( art. 66 al. 1 LTF ). Pour les mêmes motifs, le recours constitutionnel subsidiaire l'est également ( art. 115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