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5A_584/2019 vom 3. September 2019</w:t>
      </w:r>
    </w:p>
    <w:p>
      <w:r>
        <w:t>Bundesgericht, 2019-09-03, DE</w:t>
      </w:r>
    </w:p>
    <w:p>
      <w:r>
        <w:rPr>
          <w:b/>
        </w:rPr>
        <w:t xml:space="preserve">Quelle: </w:t>
      </w:r>
      <w:r>
        <w:t>https://mcp.opencaselaw.ch/entscheid/bger_5A_584_2019</w:t>
      </w:r>
    </w:p>
    <w:p>
      <w:r>
        <w:t>FR: TF 5A_584/2019 du 3 septembre 2019</w:t>
      </w:r>
    </w:p>
    <w:p>
      <w:r>
        <w:t>IT: TF 5A_584/2019 del 3 settembre 2019</w:t>
      </w:r>
    </w:p>
    <w:p>
      <w:pPr>
        <w:pStyle w:val="Heading2"/>
      </w:pPr>
      <w:r>
        <w:t>Erwägungen</w:t>
      </w:r>
    </w:p>
    <w:p>
      <w:r>
        <w:rPr>
          <w:b/>
        </w:rPr>
        <w:t>E. 1</w:t>
      </w:r>
    </w:p>
    <w:p>
      <w:r>
        <w:t>Der angefochtene Entscheid wurde der Beschwerdeführerin am 25. Juni 2019 zugestellt. Die Beschwerdefrist lief deshalb, unter Berücksichtigung der Gerichtsferien, am 26. August 2019 aus ( Art. 46 Abs. 1 lit. b und Art. 100 Abs. 1 BGG ). Die erst am 30. August 2019 der Post übergebene Beschwerdeergänzung ist somit verspätet. Die Beschwerde vom 25. Juli 2019 ist hingegen rechtzeitig.</w:t>
      </w:r>
    </w:p>
    <w:p>
      <w:r>
        <w:rPr>
          <w:b/>
        </w:rPr>
        <w:t>E. 2</w:t>
      </w:r>
    </w:p>
    <w:p>
      <w:r>
        <w:t>Das Obergericht ist auf das kantonale Rechtsmittel nicht eingetreten, weshalb Streitgegenstand grundsätzlich nur die Frage bilden kann, ob die Vorinstanz zu Recht einen Nichteintretensentscheid gefällt hat ( BGE 135 II 38 E. 1.2 S. 41).</w:t>
      </w:r>
    </w:p>
    <w:p>
      <w:r>
        <w:t>Aber selbst wenn man darüber hinwegsehen würde, wäre zu beachten, dass es bei der Verfahrenssistierung um einen Zwischenentscheid geht, der nur unter den besonderen Voraussetzungen von Art. 93Abs. 1 BGG mit Beschwerde beim Bundesgericht angefochten werden kann (ausführlich zum nicht wieder gutzumachenden Nachteil insb. BGE 142 III 798 E. 2.2 S. 801), wobei diese in der Beschwerde darzutun sind ( BGE 137 III 324 E. 1.1 S. 329; 141 IV 289 E. 1.3 S. 292).</w:t>
      </w:r>
    </w:p>
    <w:p>
      <w:r>
        <w:rPr>
          <w:b/>
        </w:rPr>
        <w:t>E. 3</w:t>
      </w:r>
    </w:p>
    <w:p>
      <w:r>
        <w:t>Die Beschwerdeführerin äussert sich weder zur Eintretensfrage noch zum nicht wieder gutzumachenden Nachteil, sondern direkt zur Sache selbst. Sie hält fest, nicht scheiden zu wollen, zumal auch die drei volljährigen Töchter und der 14-jährige Sohn an der Scheidungssituation leiden würden. Ihr Antrag auf Sistierung sei eine Sache des Herzens und können nicht einfach juristisch abgehandelt werden. Es gebe genügend Beispiele anderer Ehen, in welchen die Partner durch dick und dünn zueinander gehalten hätten.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