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5A_584/2017 vom 7. August 2017</w:t>
      </w:r>
    </w:p>
    <w:p>
      <w:r>
        <w:t>Bundesgericht, 2017-08-07, DE</w:t>
      </w:r>
    </w:p>
    <w:p>
      <w:r>
        <w:rPr>
          <w:b/>
        </w:rPr>
        <w:t xml:space="preserve">Quelle: </w:t>
      </w:r>
      <w:r>
        <w:t>https://mcp.opencaselaw.ch/entscheid/bger_5A_584_2017</w:t>
      </w:r>
    </w:p>
    <w:p>
      <w:r>
        <w:t>FR: TF 5A_584/2017 du 7 août 2017</w:t>
      </w:r>
    </w:p>
    <w:p>
      <w:r>
        <w:t>IT: TF 5A_584/2017 del 7 agosto 2017</w:t>
      </w:r>
    </w:p>
    <w:p>
      <w:pPr>
        <w:pStyle w:val="Heading2"/>
      </w:pPr>
      <w:r>
        <w:t>Erwägungen</w:t>
      </w:r>
    </w:p>
    <w:p>
      <w:r>
        <w:rPr>
          <w:b/>
        </w:rPr>
        <w:t>E. 1</w:t>
      </w:r>
    </w:p>
    <w:p>
      <w:r>
        <w:t>"Angefochten" ist ein kantonal letztinstanzlicher Beschluss betreffend Bezeichnung eines Sachverständigen in einer Erbschaftssache. Gegen einen solchen Zwischenentscheid steht die Beschwerde nur offen, wenn ein nicht wieder gutzumachender Nachteil begründet wird ( Art. 93 Abs. 1 lit. a BGG ). Dazu äussert sich die Eingabe, welche im Übrigen auch kein eigentliches Rechtsbegehren enthält (dazu Art. 42 Abs. 1 BGG ), ebenso wenig wie inhaltlich zum Verfahrensthema (Rechtzeitigkeit der kantonalen Beschwerde). Es wird einzig festgehalten, die Erbscheine seien nicht in Ordnung und es scheine eine Möglichkeit zu geben, das Erbgut innerhalb der Familie zu übertragen.</w:t>
      </w:r>
    </w:p>
    <w:p>
      <w:r>
        <w:rPr>
          <w:b/>
        </w:rPr>
        <w:t>E. 2</w:t>
      </w:r>
    </w:p>
    <w:p>
      <w:r>
        <w:t>Nach dem Gesagten erweist sich die Beschwerde als offensichtlich unbegründet,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