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5A_583/2022 vom 4. August 2022</w:t>
      </w:r>
    </w:p>
    <w:p>
      <w:r>
        <w:t>Bundesgericht, 2022-08-04, DE</w:t>
      </w:r>
    </w:p>
    <w:p>
      <w:r>
        <w:rPr>
          <w:b/>
        </w:rPr>
        <w:t xml:space="preserve">Quelle: </w:t>
      </w:r>
      <w:r>
        <w:t>https://mcp.opencaselaw.ch/entscheid/bger_5A_583_2022</w:t>
      </w:r>
    </w:p>
    <w:p>
      <w:r>
        <w:t>FR: TF 5A_583/2022 du 4 août 2022</w:t>
      </w:r>
    </w:p>
    <w:p>
      <w:r>
        <w:t>IT: TF 5A_583/2022 del 4 agosto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stellt die Fragen, was für ein Notfall am 2. Juli 2022 gewesen sei und welches Gehör rechtlich richtig gehandelt habe, ob er oder die Klinik; er sei vor der Anhörung von Gesetzes wegen korrekt geflüchtet und habe einige schriftliche Beweismittel und viele Augenzeugen.</w:t>
      </w:r>
    </w:p>
    <w:p>
      <w:r>
        <w:t>Mit diesen Aussagen nimmt der Beschwerdeführer keinen konkreten Bezug auf die Erwägungen des angefochtenen Urteils. In diesem wird der Schwächezustand sowie das selbstgefährdende Verhalten, die Erforderlichkeit der Unterbringung und die Eignung der Klinik unter Bezugnahme auf das erstellte Gutachten ausführlich behandelt. Es ist nicht ersichtlich, inwiefern die Vorinstanz Recht verletzt haben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