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5A_582/2016 vom 26. September 2016</w:t>
      </w:r>
    </w:p>
    <w:p>
      <w:r>
        <w:t>Bundesgericht, 2016-09-26, FR</w:t>
      </w:r>
    </w:p>
    <w:p>
      <w:r>
        <w:rPr>
          <w:b/>
        </w:rPr>
        <w:t xml:space="preserve">Quelle: </w:t>
      </w:r>
      <w:r>
        <w:t>https://mcp.opencaselaw.ch/entscheid/bger_5A_582_2016</w:t>
      </w:r>
    </w:p>
    <w:p>
      <w:r>
        <w:t>FR: TF 5A_582/2016 du 26 septembre 2016</w:t>
      </w:r>
    </w:p>
    <w:p>
      <w:r>
        <w:t>IT: TF 5A_582/2016 del 26 settembre 2016</w:t>
      </w:r>
    </w:p>
    <w:p>
      <w:pPr>
        <w:pStyle w:val="Heading2"/>
      </w:pPr>
      <w:r>
        <w:t>Erwägungen</w:t>
      </w:r>
    </w:p>
    <w:p>
      <w:r>
        <w:rPr>
          <w:b/>
        </w:rPr>
        <w:t>E. 1</w:t>
      </w:r>
    </w:p>
    <w:p>
      <w:r>
        <w:t>Le recours a été déposé en temps utile ( art. 100 al. 1 LTF ) contre une décision finale ( art. 90 LTF ) rendue en matière civile ( art. 72 al. 1 LTF ) par une autorité supérieure statuant sur recours en dernière instance cantonale ( art. 75 al. 1 et 2 LTF ), dans une cause de nature non pécuniaire. Le recourant a en outre pris part à la procédure devant l'autorité précédente ( art. 76 al. 1 let. a LTF ) et a un intérêt digne de protection à l'annulation ou à la modification de la décision attaquée ( art. 76 al. 1 let. b LTF ). Le recours en matière civile est donc recevable au regard des dispositions précitées.</w:t>
      </w:r>
    </w:p>
    <w:p>
      <w:r>
        <w:rPr>
          <w:b/>
        </w:rPr>
        <w:t>E. 2.1</w:t>
      </w:r>
    </w:p>
    <w:p>
      <w:r>
        <w:t>Il ressort des écritures sur effet suspensif et des pièces produites à leur appui que l'intimée a, après le 1er août 2016, quitté la Suisse pour le Canada avec ses deux enfants et qu'ils sont désormais installés dans ce pays. Il y a lieu de tenir compte de ce fait nouveau en tant qu'il est susceptible d'influer sur la compétence des juridictions suisses.</w:t>
      </w:r>
    </w:p>
    <w:p>
      <w:r>
        <w:rPr>
          <w:b/>
        </w:rPr>
        <w:t>E. 2.2</w:t>
      </w:r>
    </w:p>
    <w:p>
      <w:r>
        <w:t>Le Canada, où se trouvent actuellement les enfants, n'est pas partie à la Convention de La Haye du 5 octobre 1961 concernant la compétence des autorités et la loi applicable en matière de protection des mineurs (CLaH61; RS 0.211.231.01) ni ne l'a ratifiée. Il n'est pas non plus signataire de la Convention de La Haye du 19 octobre 1996 concernant la compétence, la loi applicable, la reconnaissance, l'exécution et la coopération en matière de responsabilité parentale et de mesures de protection des enfants (CLaH96; RS 0.211.231.011). Ce nonobstant, cette dernière convention est applicable en l'espèce en raison du renvoi de l' art. 85 al. 1 LDIP (arrêts 5A_274/2016 du 26 août 2016 consid. 2.1; 5A_809/2012 du 8 janvier 2013 consid. 2.3.1 et les références citées). Dès lors que le principe de la</w:t>
      </w:r>
    </w:p>
    <w:p>
      <w:r>
        <w:t>perpetuatio fori est applicable lorsque l'enfant se trouve dans un Etat non contractant à la CLaH96 - ou dans un Etat qui ne l'a pas ratifiée -, il suffit que les enfants aient eu leur résidence habituelle en Suisse au moment du dépôt de la requête tendant à autoriser leur déménagement au Canada, à savoir le 18 mai 2015, peu importe qu'ils se soient ou non constitués une nouvelle résidence au Canada depuis cette date (cf. arrêts 5A_274/2016 précité consid. 2.4; 5A_809/2012 précité consid. 2.4). Or, il n'est pas contesté que tel est le cas en l'espèce. La compétence des juridictions suisses pour statuer dans la présente cause est par conséquent donnée.</w:t>
      </w:r>
    </w:p>
    <w:p>
      <w:r>
        <w:rPr>
          <w:b/>
        </w:rPr>
        <w:t>E. 3.1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 ATF 138 II 331 consid. 1.3)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140 III 115 consid. 2; 137 III 580 consid. 1.3; 135 II 384 consid. 2.2.1; 135 III 397 consid. 1.4). Le recourant doit discuter les motifs de la décision entreprise et indiquer précisément en quoi il estime que l'autorité précédente a méconnu le droit ( art. 42 LTF ; ATF 140 III 86 consid. 2). Le grief doit être développé dans le recours même, un renvoi à d'autres écritures ou à des pièces n'étant pas admissible ( ATF 138 IV 47 consid. 2.8.1; 133 II 396 consid. 3.2).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115 consid. 2; 134 II 244 consid. 2.1 et 2.3; FLORENCE AUBRY GIRARDIN, Commentaire de la LTF, 2ème éd., n° 30 ad art. 42 LTF et les arrêts cités).</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 in fine). Les critiques de nature appellatoire sont irrecevables ( ATF 140 III 264 consid. 2.3; 139 II 404 consid. 10.1 et les arrêts cités).</w:t>
      </w:r>
    </w:p>
    <w:p>
      <w:r>
        <w:rPr>
          <w:b/>
        </w:rPr>
        <w:t>E. 3.2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 supra consid. 3.1 in fine),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4</w:t>
      </w:r>
    </w:p>
    <w:p>
      <w:r>
        <w:t>Le recourant soulève tout d'abord une violation de son droit d'être entendu ( art. 29 al. 2 Cst. ). Il reproche à l'autorité cantonale d'avoir considéré que l'instruction menée par la Justice de paix était suffisante et que, dès lors, il ne se justifiait pas d'ordonner l'expertise pédopsychiatrique qu'il avait sollicitée.</w:t>
      </w:r>
    </w:p>
    <w:p>
      <w:r>
        <w:t>Hormis la critique consistant à dire que la cour cantonale n'a pas tenu compte des propos diffamatoires de E.________ relatés dans l'acte de recours cantonal, et l'allégation selon laquelle C.________ lui avait confié à lui seul que la psychologue le traitait de nul, la motivation présentée par le recourant est strictement identique à celle contenue aux pages 7 et 8 de son acte de recours cantonal. Or, le procédé consistant à reprendre mot pour mot l'argumentation soumise aux juges précédents ne répond en rien aux exigences de motivation rappelées ci-dessus (cf. supra consid. 3.1).</w:t>
      </w:r>
    </w:p>
    <w:p>
      <w:r>
        <w:t>C'est le lieu de relever que les développements contenus dans le chapitre intitulé " Préambule " du présent recours n'y changent rien, en tant qu'ils ne constituent qu'une simple introduction et qu'ils ont en définitive une teneur similaire aux griefs articulés dans le corps du mémoire. Même s'il l'agrémente d'un préambule, le recourant ne saurait dès lors se croire autorisé à recopier son mémoire de recours cantonal, sous prétexte que " l'arrêt de la Cour de protection de l'enfant et de l'adulte (...) n'apporte rien de plus, en terme[s] de raisonnement juridique, que la décision de la Justice de paix ". Ce faisant, le recourant perd complètement de vue que le recours en matière civile obéit à des règles dans l'exposé des moyens, lesquelles sont au demeurant strictes s'agissant de griefs d'ordre constitutionnel (cf. supra consid. 3.1 in fine).</w:t>
      </w:r>
    </w:p>
    <w:p>
      <w:r>
        <w:t>S'agissant des deux seuls éléments ajoutés dans le présent recours, on ne saisit pas quelle serait leur pertinence par rapport au grief de violation du droit d'être entendu soulevé. La cour cantonale a procédé à une appréciation anticipée de la preuve proposée par le recourant, qui l'a conduite à admettre que celle-ci ne pourrait plus l'amener à modifier sa conviction acquise sur la base des preuves déjà recueillies (cf. ATF 138 III 374 consid. 4.3.2). Ce nonobstant, le recourant ne démontre pas en quoi cette appréciation anticipée des preuves serait insoutenable. Or, l'on ne peut s'en prendre à une telle appréciation qu'en soulevant le grief d'arbitraire ( art. 9 Cst. ), motivé selon les exigences strictes de l' art. 106 al. 2 LTF (parmi plusieurs: arrêt 4A_11/2015 du 25 juin 2015 consid. 2.1; cf. supra consid. 3.2).</w:t>
      </w:r>
    </w:p>
    <w:p>
      <w:r>
        <w:t>Il s'ensuit que le grief est irrecevable.</w:t>
      </w:r>
    </w:p>
    <w:p>
      <w:r>
        <w:rPr>
          <w:b/>
        </w:rPr>
        <w:t>E. 5</w:t>
      </w:r>
    </w:p>
    <w:p>
      <w:r>
        <w:t>Invoquant l' art. 97 al. 1 LTF , le recourant fait ensuite grief à la cour cantonale d'avoir procédé à un établissement inexact des faits. Il critique ainsi la constatation selon laquelle les angoisses de C.________ étaient simplement dues à l'incertitude d'un départ et qu'aucune investigation supplémentaire n'était nécessaire. Or, les angoisses de son fils étaient déjà présentes en 2012 et il existait un risque qu'elles soient liées aux déménagements et à l'instabilité de l'intimée. Le recourant s'en prend également au constat selon lequel l'entente entre les enfants et E.________ serait bonne et que celui-ci aurait à coeur de leur offrir un environnement stable et sécurisant. C'était oublier que l'actuel mari de l'intimée avait giflé C.________, que, selon les enfants, il criait beaucoup, qu'il se faisait appeler " papi " par D.________, qu'il l'avait frappé devant les enfants, et qu'il avait dit à C.________ que son père était " un merdeux, qui fait que de la merde ".</w:t>
      </w:r>
    </w:p>
    <w:p>
      <w:r>
        <w:t>Là encore, force est de constater que cette critique ne respecte pas les exigences de motivation susrappelées, le recourant oubliant manifestement que le Tribunal fédéral n'est pas une cour d'appel (cf. supra consid. 3.1 et 3.2). Elle s'épuise, quoi qu'il en soit, en un " copié-collé " des pages 8 et 9 du mémoire de recours cantonal, ce qui en scelle d'emblée le sort pour les motifs évoqués ci-dessus (cf. supra consid. 4).</w:t>
      </w:r>
    </w:p>
    <w:p>
      <w:r>
        <w:rPr>
          <w:b/>
        </w:rPr>
        <w:t>E. 6</w:t>
      </w:r>
    </w:p>
    <w:p>
      <w:r>
        <w:t>Sous couvert d'une violation des art. 273 CC et 13 al. 1 Cst., le recourant soutient, dans un chapitre intitulé " Conclusion ", que l'intérêt " primordial " des enfants s'oppose à un départ au Québec.</w:t>
      </w:r>
    </w:p>
    <w:p>
      <w:r>
        <w:t>Il n'y a pas davantage lieu d'entrer en matière sur ce moyen. Il s'agit en effet, une fois encore, d'une reprise textuelle du mémoire de recours cantonal (p. 10-13). Les exigences de motivation (art. 42LTF; cf. supra consid. 3.1) ne sont, ce faisant, nullement respectées.</w:t>
      </w:r>
    </w:p>
    <w:p>
      <w:r>
        <w:rPr>
          <w:b/>
        </w:rPr>
        <w:t>E. 7</w:t>
      </w:r>
    </w:p>
    <w:p>
      <w:r>
        <w:t>Enfin, le recourant se plaint, pour la première fois devant le Tribunal fédéral, de la réglementation du droit de visite telle qu'arrêtée par la Justice de paix et confirmée par la cour cantonale. La qualifiant d'impraticable, il soutient que le calendrier scolaire québécois ne permettrait pas l'exercice d'un droit de visite de deux semaines à Pâques. La semaine manquante devrait ainsi être au moins compensée par une semaine supplémentaire pendant les vacances d'été.</w:t>
      </w:r>
    </w:p>
    <w:p>
      <w:r>
        <w:t>Il résulte de l'arrêt entrepris que le recourant n'a pas contesté ce point devant l'autorité cantonale. Il ressort aussi des faits arrêtés par les juges précédents qu'il avait retiré sa conclusion " plus subsidiaire " relative à l'exercice de son droit de visite en cas de déplacement des enfants au Canada. Présenté à ce stade, le moyen, manifestement contraire aux règles de la bonne foi, apparaît tardif. Force est également de constater qu'il se fonde sur des éléments ne résultant pas de l'état de fait de l'arrêt attaqué, qui lie le Tribunal fédéral ( art. 105 al. 1 LTF ; cf. supra consid. 3.2). Il ne saurait dès lors être entré en matière sur ce grief. Quoi qu'il en soit, on ne voit pas que l'autorité cantonale, qui dispose sur cette question d'un large pouvoir d'appréciation en vertu de l' art. 4 CC (cf., parmi plusieurs, arrêt 5A_422/2015 du 10 février 2016 consid. 4.2, non publié aux ATF 142 III 193 ), se serait écartée des éléments du dossier et qu'elle aurait effectué une pondération de ceux-ci contraire aux principes jurisprudentiels pour déterminer l'étendue et les modalités du droit de visite.</w:t>
      </w:r>
    </w:p>
    <w:p>
      <w:r>
        <w:rPr>
          <w:b/>
        </w:rPr>
        <w:t>E. 8</w:t>
      </w:r>
    </w:p>
    <w:p>
      <w:r>
        <w:t>En conclusion, le recours est irrecevable. Le recourant, qui succombe, supportera les frais judiciaires ( art. 66 al. 1 LTF ). Sa requête d'assistance judiciaire est rejetée, le recours étant d'emblée dépourvu de chances de succès ( art. 64 al. 1 LTF ). L'intimée, qui n'a pas été invitée à se déterminer sur le fond mais qui a, en définitive, eu gain de cause sur l'effet suspensif, a droit à une indemnité de dépens pour ses déterminations y relatives,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