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581/2014 vom 3. November 2014</w:t>
      </w:r>
    </w:p>
    <w:p>
      <w:r>
        <w:t>Bundesgericht, 2014-11-03, FR</w:t>
      </w:r>
    </w:p>
    <w:p>
      <w:r>
        <w:rPr>
          <w:b/>
        </w:rPr>
        <w:t xml:space="preserve">Quelle: </w:t>
      </w:r>
      <w:r>
        <w:t>https://mcp.opencaselaw.ch/entscheid/bger_5A_581_2014</w:t>
      </w:r>
    </w:p>
    <w:p>
      <w:r>
        <w:t>FR: TF 5A 581/2014 du 3 novembre 2014</w:t>
      </w:r>
    </w:p>
    <w:p>
      <w:r>
        <w:t>IT: TF 5A 581/2014 del 3 novembre 2014</w:t>
      </w:r>
    </w:p>
    <w:p>
      <w:pPr>
        <w:pStyle w:val="Heading2"/>
      </w:pPr>
      <w:r>
        <w:t>Regeste</w:t>
      </w:r>
    </w:p>
    <w:p>
      <w:r>
        <w:t>mesures protectrices de l'union conjugale | Droit de la famille</w:t>
      </w:r>
    </w:p>
    <w:p>
      <w:pPr>
        <w:pStyle w:val="Heading2"/>
      </w:pPr>
      <w:r>
        <w:t>Erwägungen</w:t>
      </w:r>
    </w:p>
    <w:p>
      <w:r>
        <w:rPr>
          <w:b/>
        </w:rPr>
        <w:t>E. 1.1</w:t>
      </w:r>
    </w:p>
    <w:p>
      <w:r>
        <w:t>Le présent recours a été interjeté en temps utile ( art. 100 al. 1 LTF ) et dans la forme légale ( art. 42 LTF ), contre une décision finale ( art. 90 LTF ; ATF 133 III 393 consid. 4) prise en matière civile ( art. 72 al. 1 LTF ) par l'autorité supérieure du canton statuant en dernière instance et sur recours ( art. 75 al. 1 et 2 LTF ). Le litige porte sur la contribution d'entretien en faveur de l'épouse, à savoir une affaire pécuniaire, dont la valeur litigieuse requise est atteinte (art. 51 al. 1 et 4, 74 al. 1 let. b LTF). Le recourant a en outre qualité pour recourir ( art. 76 al. 1 let. a et b LTF ).</w:t>
      </w:r>
    </w:p>
    <w:p>
      <w:r>
        <w:rPr>
          <w:b/>
        </w:rPr>
        <w:t>E. 1.2</w:t>
      </w:r>
    </w:p>
    <w:p>
      <w:r>
        <w:t>Comme la décision attaquée porte sur le prononcé de mesures protectrices de l'union conjugale ( art. 172 ss CC ), lesquelles sont considérées comme des mesures provisionnelles au sens de l' art. 98 LTF ( ATF 134 III 667 consid. 1.1; 133 III 393 consid. 5), le Tribunal fédéral dispose d'un pouvoir d'examen limité, seule la violation des droits constitutionnels pouvant être invoquée. Il n'examine en outre les griefs de violation de tels droits que s'ils ont été invoqués et motivés conformément au principe d'allégation («Rügeprinzip»; art. 106 al. 2 LTF ), à savoir expressément soulevés et exposés de manière claire et détaillée ( ATF 139 I 229 consid. 2.2; 134 I 83 consid. 3.2; 133 II 249 consid. 1.4.2).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139 II 404 consid. 10.1).</w:t>
      </w:r>
    </w:p>
    <w:p>
      <w:r>
        <w:rPr>
          <w:b/>
        </w:rPr>
        <w:t>E. 1.3</w:t>
      </w:r>
    </w:p>
    <w:p>
      <w:r>
        <w:t>Le Tribunal fédéral statue sur la base des faits établis par l'autorité précédente ( art. 105 al. 1 LTF ). Dans l'hypothèse d'un recours soumis à l' art. 98 LTF , une rectification ou un complètement de l'état de fait n'entre en considération que si l'autorité précédente a violé des droits constitutionnels, les art. 95, 97 et 105 al. 2 LTF ne s'appliquant pas directement ( ATF 133 III 393 consid. 7.1, 585 consid. 4.1). Toutefois, l'application de l' art. 9 Cst. aboutit pratiquement au même résultat: le Tribunal fédéral ne corrige les constatations de fait que si elles sont arbitraires et ont une influence sur le résultat de la décision. Dans la mesure où le recourant s'écarte des constatations de la décision attaquée, les complète ou les modifie, sans se prévaloir ni démontrer d'arbitraire à ce sujet, ses allégations sont irrecevables. Il en va de même dans la mesure où il fait valoir - en particulier dans la partie de son mémoire intitulée «Rappel des faits pertinents» - des faits relatifs à des questions qui ont été définitivement tranchées, l'état de fait ne pouvant plus être modifié sauf sur les points renvoyés (cf. infra consid. 2.1).</w:t>
      </w:r>
    </w:p>
    <w:p>
      <w:r>
        <w:rPr>
          <w:b/>
        </w:rPr>
        <w:t>E. 2</w:t>
      </w:r>
    </w:p>
    <w:p>
      <w:r>
        <w:t>La décision de mesures protectrices de l'union conjugale attaquée a été rendue sur arrêt de renvoi du Tribunal fédéral.</w:t>
      </w:r>
    </w:p>
    <w:p>
      <w:r>
        <w:rPr>
          <w:b/>
        </w:rPr>
        <w:t>E. 2.1</w:t>
      </w:r>
    </w:p>
    <w:p>
      <w:r>
        <w:t>En vertu du principe de l'autorité de l'arrêt de renvoi du Tribunal fédéral, l'autorité cantonale à laquelle une affaire est renvoyée voit sa cognition limitée par les motifs de l'arrêt de renvoi, en ce sens qu'elle est liée par ce qui a été déjà jugé définitivement par le Tribunal fédéral ainsi que par les constatations de fait qui n'ont pas été critiquées devant lui; d'autres éléments ne peuvent être pris en considération que sur les points qui ont fait l'objet du renvoi, lesquels ne peuvent être ni étendus, ni fixés sur une base juridique nouvelle ( ATF 131 III 91 consid. 5.2 et les arrêts cités). Les considérants de l'arrêt retournant la cause pour nouvelle décision à l'autorité cantonale lient aussi le Tribunal fédéral et les parties ( ATF 133 III 201 consid. 4.2; 125 III 421 consid. 2). Par conséquent, la nouvelle décision cantonale ne peut plus faire l'objet de griefs qui auraient pu être soulevés, qui avaient été écartés ou dont il avait été fait totalement abstraction dans la précédente procédure de recours fédérale ( ATF 133 III 201 précité; 122 I 250 consid. 2; arrêt 5A_17/2014 du 15 mai 2014 consid. 2.1 et les références).</w:t>
      </w:r>
    </w:p>
    <w:p>
      <w:r>
        <w:rPr>
          <w:b/>
        </w:rPr>
        <w:t>E. 2.2</w:t>
      </w:r>
    </w:p>
    <w:p>
      <w:r>
        <w:t>En l'espèce, le recourant méconnaît ces principes lorsque, invoquant l'arbitraire dans la constatation des faits comme dans l'application de l' art. 176 CC , il fait grief à la cour cantonale de n'avoir pas pris en considération le niveau de vie antérieur à la séparation et, ce faisant, d'avoir mis à sa charge une contribution d'entretien excédant la limite supérieure fixée par la jurisprudence, qui anticipe de surcroît la liquidation du régime matrimonial. Selon les constatations de la décision querellée, dans son arrêt du 22 mars 2013, la Cour de justice a estimé que, pour maintenir son train de vie, l'épouse avait besoin de 10'233 fr. par mois, comprenant notamment 1'250 fr. (versement par le mari), 4'000 fr. (prélèvement mensuel sur le compte joint), 324 fr. (assurance maladie LAMal) et 149 fr. (hospitalisation en division semi-privée). Dans son arrêt de renvoi du 27 janvier 2014, le Tribunal fédéral a jugé que ces montants avaient été arbitrairement retenus par l'autorité cantonale. A l'exception de ces postes, le renvoi ne concernait pas les autres charges déjà constatées, en sorte que celles-ci ne pouvaient et ne devaient pas être revues par la cour cantonale. Le recourant ne peut par conséquent soumettre ces points, qui ont été définitivement tranchés dans l'arrêt cantonal du 22 mars 2013, au Tribunal fédéral, ni, partant, alléguer des faits nouveaux y relatifs. Au demeurant, le recourant se méprend en tant qu'il reproche à l'autorité précédente de n'avoir pas admis que le train de vie de l'épouse avant la séparation s'élevait, hors impôts, à 3'853 fr., respectivement 5'003 fr. par mois, l'arrêt querellé constatant précisément ces montants à titre de charges de l'épouse (cf. arrêt cantonal p. 12 ch. 5.5: 8'953 fr. - 5'100 fr. [impôts] = 3'853 fr.; 10'103 fr. - 5'100 fr. [impôts] = 5'003 fr.). Le moyen, en fait comme en droit, est dès lors irrecevable.</w:t>
      </w:r>
    </w:p>
    <w:p>
      <w:r>
        <w:rPr>
          <w:b/>
        </w:rPr>
        <w:t>E. 3</w:t>
      </w:r>
    </w:p>
    <w:p>
      <w:r>
        <w:t>Dans un autre grief, le recourant reproche à la Cour de justice d'avoir violé l' art. 9 Cst. en tant qu'elle a retenu, à titre d'impôts, un montant mensuel de 3'000 fr. pour lui et de 5'000 fr. pour l'épouse.</w:t>
      </w:r>
    </w:p>
    <w:p>
      <w:r>
        <w:rPr>
          <w:b/>
        </w:rPr>
        <w:t>E. 3.1</w:t>
      </w:r>
    </w:p>
    <w:p>
      <w:r>
        <w:t>Dans son arrêt de renvoi, le Tribunal fédéral a estimé qu'il était arbitraire de fixer une contribution à l'entretien de l'épouse de 11'000 fr. et de ne pas tenir compte du fait que la bénéficiaire devrait payer des impôts sur celle-ci. Considérant qu'il lui appartenait ainsi de statuer sur la charge fiscale actualisée des parties, l'autorité cantonale a pris en considération, s'agissant du mari, des impôts de l'ordre de 3'000 fr. par mois, sur la base de l'estimation effectuée au moyen de la calculette disponible sur le site de l'Administration fiscale cantonale, en tenant compte des éléments suivants: salaire brut annuel (408'000 fr.), cotisations sociales (44'000 fr.), frais professionnels tels qu'admis par ladite administration jusqu'alors (36'000 fr.), prime d'assurance maladie (6'000 fr.), intérêts de la dette hypothécaire (6'120 fr.), contribution d'entretien (16'000 fr. par mois), moitié de la valeur fiscale de la villa (800'000 fr.) et moitié de la dette hypothécaire (300'000 fr.). Quant à l'épouse, ses impôts ont été admis à hauteur d'environ 5'100 fr. par mois, également sur la base de la calculette précitée, en tenant compte des éléments suivants: contribution d'entretien (16'000 fr. par mois), prime d'assurance maladie (6'000 fr.), moitié de la valeur fiscale de la villa (800'000 fr.) et moitié de la dette hypothécaire (300'000 fr.).</w:t>
      </w:r>
    </w:p>
    <w:p>
      <w:r>
        <w:rPr>
          <w:b/>
        </w:rPr>
        <w:t>E. 3.2</w:t>
      </w:r>
    </w:p>
    <w:p>
      <w:r>
        <w:t>Le recourant ne s'en prend pas à cette motivation. Il se contente d'affirmer, sans tenter de démontrer ses allégations ( art. 106 al. 2 LTF ), que la Cour de justice s'est arbitrairement écartée des charges d'impôts alléguées par les parties, soit 1'557 fr. s'agissant de l'intimée et 11'000 fr. en ce qui le concerne, ce dernier montant étant en outre acquis à la procédure. Il reproche aussi aux juges précédents d'avoir calculé lesdites charges sur des bases «totalement surfaites», à savoir sur les contributions excessives fixées dans l'arrêt attaqué. Une telle critique est appellatoire, partant irrecevable (cf. supra consid. 1.2). En outre, quand bien même d'autres charges d'impôts que celles retenues par l'autorité cantonale auraient été alléguées, voire admises, à un stade antérieur de la procédure, il incombait précisément à la Cour de justice de réexaminer celles-ci à la suite de l'arrêt de renvoi du Tribunal fédéral (cf. supra consid. 3.1). Quoi qu'il en soit, le recourant ne prétend pas que la cour cantonale ne se serait pas conformée à l'arrêt de renvoi en établissant ou en appréciant les faits à élucider, seul moyen dont il est admis à se prévaloir ( ATF 116 II 220 consid. 4a; 111 II 94 consid. 2; arrêts 6B_27/2011 du 5 août 2011 consid. 1.2; 5P.386/2004 du 8 mars 2005; 5C.144/2003 du 5 mars 2004 consid. 3.1; 5P.479/2000 du 6 mars 2001). Par conséquent, il n'y a pas lieu d'entrer en matière sur ce grief.</w:t>
      </w:r>
    </w:p>
    <w:p>
      <w:r>
        <w:rPr>
          <w:b/>
        </w:rPr>
        <w:t>E. 4</w:t>
      </w:r>
    </w:p>
    <w:p>
      <w:r>
        <w:t>Vu ce qui précède, le recours doit être déclaré irrecevable. Les frais judiciaires seront mis à la charge du recourant, qui succombe ( art. 66 al. 1 LTF ). Il n'y a pas lieu d'allouer de dépens à l'intimée, qui n'a pas été invitée à répondre sur le fond, étant précisé que celle-ci a conclu au rejet de l'effet suspensif alors que celui-ci a été partiellement accordé.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