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581/2008 vom 1. Oktober 2008</w:t>
      </w:r>
    </w:p>
    <w:p>
      <w:r>
        <w:t>Bundesgericht, 2008-10-01, DE</w:t>
      </w:r>
    </w:p>
    <w:p>
      <w:r>
        <w:rPr>
          <w:b/>
        </w:rPr>
        <w:t xml:space="preserve">Quelle: </w:t>
      </w:r>
      <w:r>
        <w:t>https://mcp.opencaselaw.ch/entscheid/bger_5A_581_2008</w:t>
      </w:r>
    </w:p>
    <w:p>
      <w:r>
        <w:t>FR: TF 5A 581/2008 du 1 octobre 2008</w:t>
      </w:r>
    </w:p>
    <w:p>
      <w:r>
        <w:t>IT: TF 5A 581/2008 del 1 ottobre 2008</w:t>
      </w:r>
    </w:p>
    <w:p>
      <w:pPr>
        <w:pStyle w:val="Heading2"/>
      </w:pPr>
      <w:r>
        <w:t>Regeste</w:t>
      </w:r>
    </w:p>
    <w:p>
      <w:r>
        <w:t>Genehmigung Schlussbericht (Beistandschaft) | Familienrecht</w:t>
      </w:r>
    </w:p>
    <w:p>
      <w:pPr>
        <w:pStyle w:val="Heading2"/>
      </w:pPr>
      <w:r>
        <w:t>Erwägungen</w:t>
      </w:r>
    </w:p>
    <w:p>
      <w:r>
        <w:rPr>
          <w:b/>
        </w:rPr>
        <w:t>E. 1</w:t>
      </w:r>
    </w:p>
    <w:p>
      <w:r>
        <w:t>Angefochten ist ein Entscheid über die Genehmigung des Schlussberichtes eines Stiftungsbeistandes, auf den die Vorschriften über den Vormund anwendbar sind ( Art. 367 Abs. 3 ZGB ). Im Unterschied zur periodischen Berichterstattung im Sinn von Art. 423 ZGB , die primär ein Steuerungsinstrument für die Vormundschaftsbehörde im Rahmen der Weisungskompetenz gegenüber dem Vormund bzw. Beistand ist, dient der Schlussbericht gemäss Art. 452 ZGB der Information und nicht der Überprüfung der Vormundschaftsführung; mit der Genehmigung, die auszusprechen ist, soweit der Schlussbericht der Informationspflicht genügt, wird dem Vormund bzw. Beistand keine Décharge erteilt, und entsprechend bleiben allfällige Rechtsansprüche (insbesondere Haftungsansprüche gemäss Art. 426 ZGB ) unberührt (Good, Das Ende des Amtes des Vormundes, Diss. Freiburg 1992, S. 181; Geiser, Basler Kommentar, N. 5 zu Art. 423 ZGB , N. 28 und 33 zu Art. 451-453 ZGB ; Egger, Zürcher Kommentar, N. 27 zu Art. 413 ZGB ). Kantonale letztinstanzliche Endentscheide auf dem Gebiet der Aufsicht über die Vormundschaftsbehörden unterliegen der Beschwerde in Zivilsachen (Art. 72 Abs. 2 lit. b Ziff. 5, Art. 75 Abs. 1 und Art. 90 BGG ); die sich gegen den Genehmigungsbeschluss des Obergerichts des Kantons Zürich richtende Beschwerde ist somit grundsätzlich zulässig.</w:t>
      </w:r>
    </w:p>
    <w:p>
      <w:r>
        <w:rPr>
          <w:b/>
        </w:rPr>
        <w:t>E. 2</w:t>
      </w:r>
    </w:p>
    <w:p>
      <w:r>
        <w:t>Nach Art. 42 Abs. 2 BGG ist in der Beschwerdeschrift in gedrängter Form darzulegen, inwiefern der angefochtene Akt Recht verletzt. Die Begründung hat aus der Beschwerdeschrift selber hervorzugehen, weshalb insoweit Verweise auf Eingaben im kantonalen Verfahren unbeachtlich sind ( BGE 116 II 92 E. 2 S. 93 f.; 126 III 198 E. 1d S. 201). Dies erfordert, dass aus der Beschwerde einerseits hervorgehen müsste, in welchen Punkten sich der Schlussbericht als unhaltbar erweist, und andererseits, inwiefern die kantonalen Instanzen deshalb den Schlussbericht vor dem Hintergrund seiner Funktion (dazu E. 1) nicht hätten genehmigen dürfen bzw. mit der Genehmigung gegen Bundesrecht verstossen haben. Dazu äussert sich die Beschwerdeführerin nicht bzw. einzig durch unzulässigen Verweis auf ihre kantonalen Eingaben, weshalb insoweit auf die Beschwerde nicht eingetreten werden kann; Ausnahme bildet das im Schlussbericht geltend gemachte Honorar, an welchem die Beschwerdeführerin auch in der an das Bundesgericht gerichteten Beschwerde explizit Anstoss nimmt (dazu E. 3).</w:t>
      </w:r>
    </w:p>
    <w:p>
      <w:r>
        <w:rPr>
          <w:b/>
        </w:rPr>
        <w:t>E. 3</w:t>
      </w:r>
    </w:p>
    <w:p>
      <w:r>
        <w:t>Wie die Beschwerdeführerin selbst festhält (S. 3 oben), ist die Frage der Entschädigung des Beistandes Gegenstand eines separaten Verfahrens. Sie fürchtet jedoch, dass die Genehmigung des Schlussberichtes, in welchem sich der Beistand auch zu seinen Forderungen äussert, die Entschädigungsfrage präjudiziere. Dies ist indes nicht der Fall: Der Bezirksrat hat in seinem Beschluss vom 24. April 2008 ausdrücklich festgehalten (S. 4 unten), dass die Prüfung der Entschädigung unter anderen Gesichtspunkten erfolge als die Genehmigung des Schlussberichtes und die beiden Verfahren auch nicht voneinander abhingen, weshalb sie entgegen dem Antrag der Beschwerdeführerin nicht zu vereinigen seien. Das Obergericht hat diesen Beschluss im eigenen Dispositiv bestätigt und zudem in der Begründung ebenfalls festgehalten (S. 4 Mitte), dass die Honorierung im diesbezüglichen Verfahren im Einzelnen zu prüfen sein wird. Wird aber die Entschädigungsfrage im betreffenden Verfahren eigenständig und umfassend geprüft, ist die Frage, ob der Schlussbericht gleichzeitig Schlussrechnungssurrogat sei, gegenstandslos. Vor dem Hintergrund, dass die Genehmigung des Schlussberichtes auszusprechen ist, wenn der Bericht die Informationspflicht erfüllt (vgl. E. 1 und Geiser, Basler Kommentar, N. 33 zu Art. 451-453 ZGB ), präjudiziert der Genehmigungsentscheid in der vorliegenden Konstellation zweier separater Verfahren die Entschädigungsfrage - wie die kantonalen Instanzen zutreffend festgehalten haben - in keiner Weise, weshalb auch unter dem Aspekt der Entschädigung des Beistandes nicht ersichtlich ist, inwiefern mit der Genehmigung des Schlussberichtes hätte Bundesrecht verletzt werden können.</w:t>
      </w:r>
    </w:p>
    <w:p>
      <w:r>
        <w:rPr>
          <w:b/>
        </w:rPr>
        <w:t>E. 4</w:t>
      </w:r>
    </w:p>
    <w:p>
      <w:r>
        <w:t>Zusammengefasst ergibt sich, dass die Beschwerde in Zivilsachen abzuweisen ist, soweit auf sie eingetreten werden kann.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