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5A_57/2019 vom 24. Januar 2019</w:t>
      </w:r>
    </w:p>
    <w:p>
      <w:r>
        <w:t>Bundesgericht, 2019-01-24, DE</w:t>
      </w:r>
    </w:p>
    <w:p>
      <w:r>
        <w:rPr>
          <w:b/>
        </w:rPr>
        <w:t xml:space="preserve">Quelle: </w:t>
      </w:r>
      <w:r>
        <w:t>https://mcp.opencaselaw.ch/entscheid/bger_5A_57_2019</w:t>
      </w:r>
    </w:p>
    <w:p>
      <w:r>
        <w:t>FR: TF 5A_57/2019 du 24 janvier 2019</w:t>
      </w:r>
    </w:p>
    <w:p>
      <w:r>
        <w:t>IT: TF 5A_57/2019 del 24 gennaio 2019</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Der Beschwerdeführer stellt kein formelles Rechtsbegehren. Indes geht aus seinen beiden Aussagen, er sehe sich ausserstande, ohne Rechtsvertretung seine Interessen verteidigen zu können, und eine eigene Kostentragung liege aufgrund seiner finanziellen Situation nicht drin, im Kontext mit dem angefochtenen Entscheid unmissverständlich hervor, dass er in der Sache die Erteilung der unentgeltlichen Rechtspflege für das vor der KESB zu führende Verfahren betreffend Regelung der Betreuungsanteile verlangt.</w:t>
      </w:r>
    </w:p>
    <w:p>
      <w:r>
        <w:rPr>
          <w:b/>
        </w:rPr>
        <w:t>E. 3</w:t>
      </w:r>
    </w:p>
    <w:p>
      <w:r>
        <w:t>Indes hat es mit den beiden Kurzaussagen auch schon sein Bewenden. Der Beschwerdeführer setzt sich nicht ansatzweise mit der Begründung im angefochtenen Entscheid auseinander, wonach insgesamt in tatsächlicher wie auch in rechtlicher Hinsicht einfache Verhältnisse vorlägen, welche die Erteilung der unentgeltlichen Rechtspflege entbehrlich machten, zumal der Beschwerdeführer keine in seiner Person liegenden Gründe vorbringe, welche eine Rechtsverbeiständung erforderlich machen würden, und wonach im Kindesschutzverfahren von der KESB keine Verfahrenskosten erhoben werden.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