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5A_57/2016 vom 20. April 2016</w:t>
      </w:r>
    </w:p>
    <w:p>
      <w:r>
        <w:t>Bundesgericht, 2016-04-20, FR</w:t>
      </w:r>
    </w:p>
    <w:p>
      <w:r>
        <w:rPr>
          <w:b/>
        </w:rPr>
        <w:t xml:space="preserve">Quelle: </w:t>
      </w:r>
      <w:r>
        <w:t>https://mcp.opencaselaw.ch/entscheid/bger_5A_57_2016</w:t>
      </w:r>
    </w:p>
    <w:p>
      <w:r>
        <w:t>FR: TF 5A_57/2016 du 20 avril 2016</w:t>
      </w:r>
    </w:p>
    <w:p>
      <w:r>
        <w:t>IT: TF 5A_57/2016 del 20 aprile 2016</w:t>
      </w:r>
    </w:p>
    <w:p>
      <w:pPr>
        <w:pStyle w:val="Heading2"/>
      </w:pPr>
      <w:r>
        <w:t>Erwägungen</w:t>
      </w:r>
    </w:p>
    <w:p>
      <w:r>
        <w:rPr>
          <w:b/>
        </w:rPr>
        <w:t>E. 1</w:t>
      </w:r>
    </w:p>
    <w:p>
      <w:r>
        <w:t>Le recours a été déposé dans le délai légal ( art. 100 al. 2 let. a LTF ) à l'encontre d'une décision finale ( art. 90 LTF ; ATF 135 I 187 consid. 1.2 p. 189 et les références) rendue en matière de poursuite pour dettes ( art. 72 al. 2 let. a LTF , en relation avec l' art. 19 LP ) par une autorité de surveillance statuant en dernière instance cantonale ( art. 75 al. 1 LTF ); le recours est recevable en tant que recours en matière civile, indépendamment de la valeur litigieuse ( art. 74 al. 2 let . c LTF); le recourant, qui a succombé devant l'autorité précédente, a qualité pour recourir ( art. 76 al. 1 LTF ).</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p. 336; 135 III 397 consid. 1.4 p. 400).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p. 88; 137 III 580 consid. 1.3 p. 584; 135 III 397 consid. 1.4 p. 400). La partie recourante doit par conséquent critiquer les motifs de la décision entreprise et indiquer précisément en quoi il estime que l'autorité précédente a méconnu le droit ( ATF 140 III 86 consid. 2 précité). Par ailleurs, sauf exceptions non pertinentes en l'espèce (cf. art. 95 let . c, d et e LTF), on ne peut invoquer la violation du droit cantonal en tant que tel devant le Tribunal fédéral ( ATF 138 V 67 consid. 2.2 p. 69; 136 I 241 consid. 2.4 p. 249). La partie recourante peut cependant faire valoir que l'application du droit cantonal viole le droit fédéral, en particulier qu'il y a eu violation de l'interdiction de l'arbitraire prévue par l' art. 9 Cst. ( ATF 138 III 471 consid. 5.2 p. 481; 138 IV 13 consid. 5.1 p. 21 s.).</w:t>
      </w:r>
    </w:p>
    <w:p>
      <w:r>
        <w:t>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p. 232; 137 II 305 consid. 3.3 p. 310; 135 III 232 consid. 1.2 p. 234, 397 consid. 1.4</w:t>
      </w:r>
    </w:p>
    <w:p>
      <w:r>
        <w:t>in fine ). Les critiques de nature appellatoire sont irrecevables ( ATF 140 III 264 consid. 2.3 p. 266; 139 II 404 consid. 10.1 p. 445 et les arrêts cités).</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p. 266), doit satisfaire au principe d'allégation susmentionné (cf.</w:t>
      </w:r>
    </w:p>
    <w:p>
      <w:r>
        <w:t>supra consid. 2.1), sous peine d'irrecevabilité.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précité).</w:t>
      </w:r>
    </w:p>
    <w:p>
      <w:r>
        <w:rPr>
          <w:b/>
        </w:rPr>
        <w:t>E. 3</w:t>
      </w:r>
    </w:p>
    <w:p>
      <w:r>
        <w:t>Le recourant se plaint tout d'abord d'une violation de l' art. 20a al. 2 ch. 2 LP et de son droit d'être entendu garanti par l' art. 29 al. 2 Cst. Il considère qu'en vertu de son obligation de constater les faits d'office, l'autorité cantonale aurait dû déclarer recevable et prendre en considération la pièce nouvelle produite à l'appui de son courrier du 7 octobre 2015, dont il ressortait notamment que le véhicule Y.________ de son épouse était âgé de plus de 10 ans, qu'il avait au compteur 278'621 km et que pour le réparer et le remettre en circulation, il en résulterait des frais de 3'145 fr. 35 sous réserve de coûts supplémentaires occasionnés au moment des travaux. Par ailleurs, aux termes de l'arrêt cité par l'autorité cantonale, seule une motivation insuffisante du recours constitue un vice irréparable. Il serait en revanche possible de produire en cours d'instruction une pièce supplémentaire à l'appui d'une argumentation complète déjà développée en temps utile dans l'acte de recours, comme c'était le cas en l'espèce.</w:t>
      </w:r>
    </w:p>
    <w:p>
      <w:r>
        <w:rPr>
          <w:b/>
        </w:rPr>
        <w:t>E. 3.1</w:t>
      </w:r>
    </w:p>
    <w:p>
      <w:r>
        <w:t>Se référant à l'art. 28 al. 4 de la loi d'application dans le canton de Vaud de la loi fédérale sur la poursuite pour dettes et la faillite du 18 mai 1955 (LVLP, RSV 280.05), l'autorité cantonale a rappelé que le recourant peut, dans le délai de recours, alléguer des faits nouveaux et produire de nouvelles pièces. Mentionnant notamment l' ATF 126 III 30 , elle a également relevé que, dès lors qu'un recours motivé à satisfaction de droit doit être déposé dans le délai légal de recours, une écriture complémentaire produite après l'échéance dudit délai ne pouvait plus être prise en considération même si elle avait été annoncée dans la déclaration de recours formée en temps utile. En revanche, dans le cas où le recourant dépose une écriture complémentaire en réponse à l'écriture d'une partie adverse, un droit de réplique devait lui être reconnu, dans la mesure où l'écriture de la partie adverse contenait de nouveaux éléments. En l'espèce, il n'y avait pas lieu de donner suite à la requête du recourant tendant à ce qu'un délai lui soit imparti pour compléter ses moyens après le dépôt des déterminations de l'office. En effet, l'écriture du 7 octobre 2015 ne pouvait être considérée comme une réplique dès lors que les déterminations de l'office du 25 septembre 2015 sur le recours ne contenait aucun élément nouveau. Partant, déposée après l'échéance du délai de recours et ne visant qu'à compléter l'acte de recours du 14 septembre 2015, l'écriture du 7 octobre 2015 était irrecevable. Il en allait de même de la pièce nouvelle l'accompagnant.</w:t>
      </w:r>
    </w:p>
    <w:p>
      <w:r>
        <w:rPr>
          <w:b/>
        </w:rPr>
        <w:t>E. 3.2.1</w:t>
      </w:r>
    </w:p>
    <w:p>
      <w:r>
        <w:t>La procédure de plainte et de recours en matière de poursuites et de faillite est régie notamment par l' art. 20a LP et, dans le canton de Vaud, par la LVLP. Le droit cantonal détermine dans quelle mesure les faits et moyens de preuve nouveaux peuvent être invoqués devant l'autorité de surveillance cantonale supérieure ( ATF 82 III 145 consid. 1; arrêts 5A_792/2013 du 10 février 2014 consid. 2.2; 7B.205/2005 du 27 janvier 2006 consid. 1.2; JEANDIN, La plainte et le recours ( art. 17-22 et 36 LP ), in Sviluppi e orientamenti del diritto esecutivo federale, CFPG 48, 2012, p. 30; MARKUS DIETH, Beschwerde in Schuldbetreibungs- und Konkurssachen gemäss Art. 17 ff. SchKG, 1999, p. 112). L'admissibilité des</w:t>
      </w:r>
    </w:p>
    <w:p>
      <w:r>
        <w:t>nova dans la procédure cantonale de recours ne doit toutefois pas être subordonnée à des conditions plus rigoureuses que celles prévues pour le recours au Tribunal fédéral ( ATF 73 III 31 consid. 3; 82 III 145 consid. 1; arrêts 5A_77/2013 du 14 juin 2013 consid. 4.1; 7B.205/2005 précité; 5P.16/2002 du 1er mars 2002 consid. 4b; GILLIÉRON, Commentaire de la loi fédérale sur la poursuite pour dettes et la faillite, n° 15 ad art. 18 LP ; DIETH, loc. cit.).</w:t>
      </w:r>
    </w:p>
    <w:p>
      <w:r>
        <w:rPr>
          <w:b/>
        </w:rPr>
        <w:t>E. 3.2.2</w:t>
      </w:r>
    </w:p>
    <w:p>
      <w:r>
        <w:t>Il n'est pas contesté que la pièce produite le 7 octobre 2015, soit un devis du 2 octobre 2015 relatif à la préparation pour l'expertise du véhicule Y.________, constitue une pièce nouvelle. Son admissibilité en procédure de recours selon l' art. 18 LP relève donc du droit cantonal (cf.</w:t>
      </w:r>
    </w:p>
    <w:p>
      <w:r>
        <w:t>supra consid. 3.2.1). Or le recourant ne mentionne pas l'art. 28 al. 4 LVLP, pourtant expressément cité par l'autorité cantonale. Il ne prétend ainsi pas, et</w:t>
      </w:r>
    </w:p>
    <w:p>
      <w:r>
        <w:t>a fortiori ne démontre pas non plus ( art. 106 al. 2 LTF ), que cette disposition aurait été appliquée de manière arbitraire ( art. 9 Cst. ; cf.</w:t>
      </w:r>
    </w:p>
    <w:p>
      <w:r>
        <w:t>supra consid. 2.1). Il ne soutient pas non plus que l'autorité cantonale aurait posé des exigences plus strictes à l'admissibilité des</w:t>
      </w:r>
    </w:p>
    <w:p>
      <w:r>
        <w:t>nova que ce qui prévaut dans la procédure de recours devant le Tribunal fédéral. Dans ces conditions, la simple invocation de l' art. 20a al. 2 ch. 2 LP et les seules considérations du recourant relatives à l'interprétation qu'il conviendrait de donner à l' ATF 126 III 30 sont insuffisantes pour valablement remettre en cause l'irrecevabilité prononcée par l'autorité cantonale. S'agissant par ailleurs de la violation de son droit d'être entendu, le recourant ne motive pas plus avant son grief. Il ne s'attaque en particulier pas au refus de l'autorité cantonale de considérer son écriture du 7 octobre 2015 comme une réplique au motif - discutable - que les déterminations de l'office ne contenaient aucun élément nouveau (sur le droit de réplique inconditionnel tiré des art. 29 al. 2 Cst. et 6 par. 1 CEDH: ATF 138 I 484 consid. 2.3 p. 486 s.; 138 I 154 consid. 2.3.3 p. 157; 137 I 195 consid. 2.3.1 p. 197; 133 I 100 consid. 4.6 p. 104).</w:t>
      </w:r>
    </w:p>
    <w:p>
      <w:r>
        <w:t>Il suit de là que le grief de violation des art. 20a LP et 29 Cst. est irrecevable.</w:t>
      </w:r>
    </w:p>
    <w:p>
      <w:r>
        <w:rPr>
          <w:b/>
        </w:rPr>
        <w:t>E. 4</w:t>
      </w:r>
    </w:p>
    <w:p>
      <w:r>
        <w:t>Dans un deuxième moyen, le recourant fait grief à l'autorité cantonale d'avoir apprécié les faits de manière arbitraire ( art. 9 Cst. ) et d'avoir violé l' art. 92 LP . Il soutient que le véhicule X.________ dont il est propriétaire constitue un bien insaisissable, dès lors qu'il lui est indispensable en raison de son état de santé et de sa situation familiale. Il considère en outre que rien n'interdit à l'autorité de poursuite, dans le cadre de son obligation d'établir les faits d'office, de tenir compte d'éléments postérieurs à la saisie, soit en l'occurrence aux fins de déterminer l'état du véhicule Y.________ de son épouse au moment de la saisie. A cet égard, l'autorité cantonale devait tenir compte du fait, postérieur au moment de la saisie, que les plaques de dit véhicule avaient été déposées le 18 juin 2015 pour nier la possibilité de l'utiliser. En ne le faisant pas, respectivement en considérant que le véhicule de son épouse était encore utilisé, l'autorité cantonale était tombée dans l'arbitraire. Pour le surplus, le recourant fait valoir qu'il se trouve dans l'un des cas exceptionnels permettant selon la jurisprudence de déclarer insaisissable le véhicule X.________ dont il est propriétaire. Cela, non seulement au motif qu'il en a besoin pour suivre un traitement médical, mais aussi en raison de la scolarisation de ses enfants et de leurs propres rendez-vous médicaux, ce dernier motif n'ayant " d'ailleurs " pas été examiné par l'autorité précédente.</w:t>
      </w:r>
    </w:p>
    <w:p>
      <w:r>
        <w:rPr>
          <w:b/>
        </w:rPr>
        <w:t>E. 4.1</w:t>
      </w:r>
    </w:p>
    <w:p>
      <w:r>
        <w:t>L'autorité cantonale a relevé qu'il n'était pas contesté que le recourant était invalide et qu'il devait, en raison de son état de santé, notamment se rendre à de nombreux rendez-vous médicaux. Il résultait en outre du certificat médical établi par le Dr J.________ le 7 avril 2015, ainsi que de son rapport du 30 juin 2015, que le recourant n'était pas apte, pour des raisons médicales, à utiliser les transports publics. Il ressortait toutefois également du dossier que les époux disposent d'un second véhicule, Y.________, appartenant à l'épouse du recourant. Même s'il était incontestable que cette voiture, mise en circulation pour la première fois en 2002, était désormais ancienne et qu'elle affichait un kilométrage très important, il n'en demeurait pas moins qu'elle avait été expertisée en mars 2014 et qu'elle avait alors été considérée comme conforme, donc apte à la circulation. Ce véhicule était en outre, au jour de la saisie, toujours immatriculé au nom de l'épouse ce qui démontrait qu'il était encore utilisé. On concevait en effet mal les raisons qui auraient pu conduire les époux à entreposer cette voiture dans un box sans prendre le soin de déposer les plaques d'immatriculation, ne serait-ce que pour mettre fin à leur obligation de s'acquitter des taxes et des primes d'assurances y relatives. Le devis de réparation produit à l'appui du recours ne changeait rien à ce constat. Ce document datait de 2011 et on ignorait si les travaux devisés avaient été effectués. Dans l'hypothèse où, comme le soutenait le recourant, ils n'auraient été que partiellement réalisés, il faudrait alors constater que cela n'avait pas empêché le véhicule d'être considéré comme apte à la circulation lors de l'expertise de 2014. En conséquence, les juges précédent ont admis, avec l'office et le premier juge, que le véhicule Y.________ était toujours utilisable lors de la saisie décidée le 15 avril et confirmée le 21 avril 2015, ce qui rendait l'expertise requise par le recourant inutile. Ce véhicule, qui n'avait pas été saisi le 21 avril 2015, était ainsi resté à disposition du recourant et de son épouse. Il n'avait pas été allégué et prouvé que ce véhicule aurait été absolument indispensable à cette dernière, qui n'exerce du reste aucune activité professionnelle. Partant, au moment de la saisie, le recourant disposait d'une voiture pour se rendre à ses rendez-vous médicaux, respectivement rester en contact avec le monde extérieur. Les conditions d'une insaisissabilité du véhicule X.________ n'étaient ainsi pas réunies le 21 avril 2015. Le fait que les époux aient par la suite, en cours de procédure, choisi de déposer les plaques d'immatriculation de leur second véhicule ne saurait suffire à remettre en cause le bien-fondé de la décision de l'office.</w:t>
      </w:r>
    </w:p>
    <w:p>
      <w:r>
        <w:rPr>
          <w:b/>
        </w:rPr>
        <w:t>E. 4.2</w:t>
      </w:r>
    </w:p>
    <w:p>
      <w:r>
        <w:t>L' 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 ATF 106 III 104 p. 107 s.; arrêt 5A_35/2015 du 13 janvier 2016 consid. 5.1).</w:t>
      </w:r>
    </w:p>
    <w:p>
      <w:r>
        <w:rPr>
          <w:b/>
        </w:rPr>
        <w:t>E. 4.3.1</w:t>
      </w:r>
    </w:p>
    <w:p>
      <w:r>
        <w:t>En l'espèce, c'est à bon droit que l'autorité cantonale a établi les faits en se fondant sur les circonstances existant au moment de l'exécution de la saisie, notamment pour juger de la question de l'insaisissabilité du véhicule du recourant (cf. sur ce point: ATF 111 III 55 consid. 2 p. 56; 98 III 31 p. 32; arrêt 7B.142/2006 du 25 septembre 2006 consid. 3.1; cf. ég. ATF 112 III 79 consid. 2 p. 80; 108 III 10 consid. 4 p. 12 s.).</w:t>
      </w:r>
    </w:p>
    <w:p>
      <w:r>
        <w:t>Se référant à l'obligation d'établir les faits d'office, le recourant affirme toutefois que l'autorité de poursuite pouvait tenir compte d'éléments postérieurs dans le but de déterminer l'état du véhicule de son épouse au moment de l'exécution de la saisie. A cet égard, il ne prétend plus que dit véhicule aurait dû être expertisé. Il invoque uniquement le fait que les plaques ont été déposées le 18 juin 2015. Le recourant n'explique toutefois pas en quoi ce fait, si tant est qu'il eût dû être pris en considération, serait pertinent pour juger de l'état du véhicule de son épouse au moment de l'exécution de la saisie. Sans même alléguer qu'il s'agirait là du motif ayant conduit au dépôt des plaques, il se contente en effet d'affirmer que le véhicule de son épouse était " entreposé dans un box car il était impropre à une circulation en toute sécurité ". Ce faisant, il ne s'en prend toutefois pas, de manière conforme aux exigences de motivation applicables en la matière (cf.</w:t>
      </w:r>
    </w:p>
    <w:p>
      <w:r>
        <w:t>supra consid. 2.1 et 2.2), aux constatations contraires de l'autorité cantonale. Il ne conteste en particulier pas le constat des juges précédents selon lequel l'expertise réalisée en mars 2014 atteste que le véhicule considéré était conforme. Par ailleurs, de manière toute générale et partant irrecevable, il se contente de taxer d'arbitraires les conséquences que l'autorité cantonale a déduites du fait que le véhicule de son épouse était toujours immatriculé au moment de l'exécution de la saisie. Il s'ensuit qu'autant que recevable, le grief d'appréciation arbitraire des faits tombe à faux.</w:t>
      </w:r>
    </w:p>
    <w:p>
      <w:r>
        <w:rPr>
          <w:b/>
        </w:rPr>
        <w:t>E. 4.3.2</w:t>
      </w:r>
    </w:p>
    <w:p>
      <w:r>
        <w:t>Dès lors que le recourant échoue à démontrer le caractère arbitraire de la constatation des juges précédents selon laquelle le recourant dispose du véhicule Y.________ de son épouse pour se rendre à ses rendez-vous médicaux, l'on ne saurait considérer que le véhicule X.________ dont il est propriétaire lui est indispensable au sens de l' art. 92 al. 1 ch. 1 LP et de la jurisprudence y relative (cf.</w:t>
      </w:r>
    </w:p>
    <w:p>
      <w:r>
        <w:t>supra consid. 4.2). Cette conclusion s'impose même si l'on devait prendre en compte le motif pris de la scolarisation des enfants du recourant et de leurs propres rendez-vous médicaux. Ce motif apparaît en effet sans pertinence, dans la mesure où le recourant ne prétend pas que l'usage de deux véhicules lui serait indispensable pour à la fois se rendre à ses rendez-vous médicaux et véhiculer ses enfants. Il ne remet pas non plus en cause le fait que son épouse n'exerce aucune activité professionnelle et qu'il n'a été ni allégué ni prouvé que le véhicule Y.________ aurait été absolument indispensable à cette dernière.</w:t>
      </w:r>
    </w:p>
    <w:p>
      <w:r>
        <w:t>Au vu de ce qui précède, le grief de violation de l' art. 92 LP ne peut qu'être rejeté.</w:t>
      </w:r>
    </w:p>
    <w:p>
      <w:r>
        <w:rPr>
          <w:b/>
        </w:rPr>
        <w:t>E. 5</w:t>
      </w:r>
    </w:p>
    <w:p>
      <w:r>
        <w:t>En définitive, le recours est rejeté dans la mesure de sa recevabilité. Les conclusions du recourant étaient d'emblée dénuées de chances de succès, ce qui entraîne le rejet de sa requête d'assistance judiciaire ( art. 64 al. 1 LTF ) ainsi que sa condamnation aux frais de la procédure fédérale ( art. 66 al. 1 LTF ). Il n'y a pas lieu d'allouer de dépens aux intimés, qui n'ont pas répondu sur effet suspensif, respectivement, pour un seul d'entre eux, s'en sont remis à justice sur cette question, et n'ont pas été invités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