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579/2017 vom 13. September 2017</w:t>
      </w:r>
    </w:p>
    <w:p>
      <w:r>
        <w:t>Bundesgericht, 2017-09-13, FR</w:t>
      </w:r>
    </w:p>
    <w:p>
      <w:r>
        <w:rPr>
          <w:b/>
        </w:rPr>
        <w:t xml:space="preserve">Quelle: </w:t>
      </w:r>
      <w:r>
        <w:t>https://mcp.opencaselaw.ch/entscheid/bger_5A_579_2017</w:t>
      </w:r>
    </w:p>
    <w:p>
      <w:r>
        <w:t>FR: TF 5A 579/2017 du 13 septembre 2017</w:t>
      </w:r>
    </w:p>
    <w:p>
      <w:r>
        <w:t>IT: TF 5A 579/2017 del 13 settembre 2017</w:t>
      </w:r>
    </w:p>
    <w:p>
      <w:pPr>
        <w:pStyle w:val="Heading2"/>
      </w:pPr>
      <w:r>
        <w:t>Regeste</w:t>
      </w:r>
    </w:p>
    <w:p>
      <w:r>
        <w:t>inscription d'une hypothèque légale des artisans et entrepreneurs; suspension de la procédure | Droits réels</w:t>
      </w:r>
    </w:p>
    <w:p>
      <w:pPr>
        <w:pStyle w:val="Heading2"/>
      </w:pPr>
      <w:r>
        <w:t>Erwägungen</w:t>
      </w:r>
    </w:p>
    <w:p>
      <w:r>
        <w:rPr>
          <w:b/>
        </w:rPr>
        <w:t>E. 1</w:t>
      </w:r>
    </w:p>
    <w:p>
      <w:r>
        <w:t>Le Tribunal fédéral examine d'office la recevabilité du recours qui lui est soumis ( ATF 142 V 551 consid. 1 et la jurisprudence citée).</w:t>
      </w:r>
    </w:p>
    <w:p>
      <w:r>
        <w:rPr>
          <w:b/>
        </w:rPr>
        <w:t>E. 1.1</w:t>
      </w:r>
    </w:p>
    <w:p>
      <w:r>
        <w:t>La décision attaquée a été rendue en matière civile ( art. 72 al. 1 LTF ) et le recours a été interjeté dans le délai (art. 46 al. 1 let. b et 100 al. 1 LTF), par la partie qui a succombé dans ses conclusions prises devant l'autorité cantonale de dernière instance statuant sur recours (art. 75 al. 1 et 76 al. 1 LTF). La valeur litigieuse de 30'000 fr. est atteinte ( art. 74 al. 1 let. b LTF ).</w:t>
      </w:r>
    </w:p>
    <w:p>
      <w:r>
        <w:rPr>
          <w:b/>
        </w:rPr>
        <w:t>E. 1.2</w:t>
      </w:r>
    </w:p>
    <w:p>
      <w:r>
        <w:t>La recevabilité du recours en matière civile suppose que celui-ci soit dirigé contre une décision finale, à savoir une décision qui met fin à la procédure ( art. 90 LTF ), ou contre une décision partielle, qui statue sur un objet dont le sort est indépendant de celui qui reste en cause ou qui met fin à la procédure à l'égard d'une partie des consorts ( art. 91 let. a et b LTF ). Le recours en matière civile est encore ouvert contre une décision préjudicielle ou incidente notifiée séparément qui porte sur la compétence ou la récusation ( art. 92 al. 1 LTF ). Il en est de même si une telle décision est susceptible de causer un préjudice irréparable ou si l'admission du recours peut conduire immédiatement à une décision finale qui permet d'éviter une procédure probatoire longue et coûteuse ( art. 93 al. 1 let. a et b LTF ).</w:t>
      </w:r>
    </w:p>
    <w:p>
      <w:r>
        <w:rPr>
          <w:b/>
        </w:rPr>
        <w:t>E. 1.3</w:t>
      </w:r>
    </w:p>
    <w:p>
      <w:r>
        <w:t>En l'occurrence, l'arrêt dont est recours retient que, faute de motivation, la décision de première instance maintenant la suspension de la procédure au fond dans l'attente de l'issue de la procédure concordataire viole le droit d'être entendu de la partie intimée et renvoie la cause à cette dernière autorité pour nouvelle décision. Il s'agit ainsi d'une décision incidente, sujette à recours aux conditions restrictives de l' art. 93 LTF .</w:t>
      </w:r>
    </w:p>
    <w:p>
      <w:r>
        <w:rPr>
          <w:b/>
        </w:rPr>
        <w:t>E. 1.3.1</w:t>
      </w:r>
    </w:p>
    <w:p>
      <w:r>
        <w:t>Par principe, l'éventualité prévue par la lettre b de cette disposition n'entre pas en considération, dès lors que l'admission du recours ne permettrait pas au Tribunal fédéral de rendre immédiatement une décision finale sur la cause au fond (cf. ATF 137 III 589 consid. 1.2.2). Le présent recours n'est dès lors recevable que si la décision entreprise est propre à causer un préjudice irréparable, à savoir un dommage de nature juridique qui ne peut pas être réparé ultérieurement par une décision finale favorable à la partie recourante; un dommage économique ou de pur fait ne suffit pas ( ATF 141 III 80 consid. 1.2 et les arrêts cités). De jurisprudence constante, le fait d'être exposé au paiement d'une somme d'argent n'entraîne en principe aucun préjudice de cette nature ( ATF 138 III 333 consid. 1.3.1); tel est aussi le cas si la question litigieuse, tranchée dans la décision incidente, peut faire l'objet d'un contrôle ultérieur par le Tribunal fédéral, à l'occasion du recours dirigé contre la décision finale rendue en dernière instance cantonale ( art. 93 al. 3 LTF ; ATF 141 III 80 consid. 1.2; 134 III 426 consid. 1.3.1). Il appartient à la partie recourante d'alléguer et de démontrer dans quelle mesure elle est concrètement menacée d'un préjudice irréparable au sens défini ci-dessus, à moins que - ce qui n'est pas le cas ici - cette condition ne fasse d'emblée aucun doute ( ATF 140 III 80 consid. 1.2 et 395 consid. 2.5, avec les arrêts cités). La décision qui renvoie la cause à l'autorité inférieure pour nouvelle décision n'est généralement pas de nature à causer un préjudice irréparable aux parties, le seul allongement de la durée de la procédure ou le seul accroissement des frais de celle-ci n'étant pas considérés comme des éléments constitutifs d'un tel dommage ( ATF 134 III 426 consid. 1.3). La décision de renvoi peut néanmoins être assimilée à une décision finale et faire ainsi l'objet d'un recours immédiat au Tribunal fédéral si elle ne laisse aucune latitude de jugement à l'autorité cantonale inférieure, celle-ci étant uniquement appelée à mettre en oeuvre la décision rendue par le tribunal supérieur ( ATF 135 V 141 consid. 1.1; 133 V 477 consid. 5.2.2 et les références citées).</w:t>
      </w:r>
    </w:p>
    <w:p>
      <w:r>
        <w:rPr>
          <w:b/>
        </w:rPr>
        <w:t>E. 1.3.2</w:t>
      </w:r>
    </w:p>
    <w:p>
      <w:r>
        <w:t>La recourante fonde son préjudice irréparable sur un motif d'ordre exclusivement financier, à savoir le fait de devoir s'acquitter d'une avance de frais d'un montant de plus de 90'000 fr. en cas de poursuite de la procédure au fond, montant qu'elle estime irrécupérable vu l'insolvabilité notoire de l'intimée no 1. Cette argumentation, qui se fonde au demeurant sur la prémisse erronée que la décision entreprise ordonnerait la reprise de la procédure, ne permet nullement de retenir l'existence d'un dommage juridique dans le sens sus-décrit. L'on ne saurait au surplus considérer que la décision de renvoi ne laisserait aucune marge de manoeuvre à l'autorité inférieure: en exprimant certes des doutes sur la légitimité du maintien de la suspension de la cause, le tribunal cantonal a néanmoins enjoint le premier juge à en expliquer la nécessité, sans en conséquence l'exclure.</w:t>
      </w:r>
    </w:p>
    <w:p>
      <w:r>
        <w:rPr>
          <w:b/>
        </w:rPr>
        <w:t>E. 1.3.3.1</w:t>
      </w:r>
    </w:p>
    <w:p>
      <w:r>
        <w:t>Il convient cependant de relever que, sous l'angle de la violation de son droit d'être entendu, la recourante reproche aux magistrats cantonaux de ne pas avoir examiné la recevabilité du recours formé devant eux par l'intimée no 1 sous l'angle de l' art. 319 let. b ch. 2 CPC , grief qu'elle avait pourtant expressément soulevé devant l'instance cantonale. Or il convient d'entrer en matière sur ce grief de violation du droit d'être entendu en tant que celui-ci ne pourra plus être invoqué ultérieurement, sauf à être déclaré tardif. L'exigence du dommage irréparable est donc ici réalisée.</w:t>
      </w:r>
    </w:p>
    <w:p>
      <w:r>
        <w:rPr>
          <w:b/>
        </w:rPr>
        <w:t>E. 1.3.3.2</w:t>
      </w:r>
    </w:p>
    <w:p>
      <w:r>
        <w:t>Aucun préjudice irréparable n'est en revanche à relever en lien avec la prétendue omission de la cour cantonale de discuter la cause sous l'angle de l' art. 297 al. 5 LP . Ce grief, également soulevé par la recourante dans le cadre de la violation de son droit d'être entendu, concerne en réalité le bien-fondé de la suspension de la procédure et n'est pas pertinente pour examiner le dommage irréparable qu'entraînerait la décision de renvoi à son endroit.</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139 IV 179 consid. 2.2;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w:t>
      </w:r>
    </w:p>
    <w:p>
      <w:r>
        <w:rPr>
          <w:b/>
        </w:rPr>
        <w:t>E. 2.2</w:t>
      </w:r>
    </w:p>
    <w:p>
      <w:r>
        <w:t>Le grief du droit d'être entendu est en l'espèce infondé. La cour cantonale a en effet expressément relevé le grief d'irrecevabilité soulevé par celle-ci en lien avec l' art. 319 let. b ch. 2 CPC , mais l'a néanmoins laissé indécis dès lors qu'à son sens et conformément à l' art. 321 al. 4 CPC , elle pouvait entrer en matière sur le recours formé par l'intimée no 1 sous l'angle du déni de justice.</w:t>
      </w:r>
    </w:p>
    <w:p>
      <w:r>
        <w:rPr>
          <w:b/>
        </w:rPr>
        <w:t>E. 3</w:t>
      </w:r>
    </w:p>
    <w:p>
      <w:r>
        <w:t>En définitive, le recours est rejeté dans la mesure de sa recevabilité. Les frais judiciaires sont mis à la charge de la recourante qui succombe ( art. 66 al. 1 LTF ). Une indemnité de dépens est attribuée à l'intimée no 1 en tant que celle-ci a conclu au rejet de la requête d'effet suspensif formée par la recourante par l'intermédiaire d'un mandataire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