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5A_578/2017 vom 4. August 2017</w:t>
      </w:r>
    </w:p>
    <w:p>
      <w:r>
        <w:t>Bundesgericht, 2017-08-04, DE</w:t>
      </w:r>
    </w:p>
    <w:p>
      <w:r>
        <w:rPr>
          <w:b/>
        </w:rPr>
        <w:t xml:space="preserve">Quelle: </w:t>
      </w:r>
      <w:r>
        <w:t>https://mcp.opencaselaw.ch/entscheid/bger_5A_578_2017</w:t>
      </w:r>
    </w:p>
    <w:p>
      <w:r>
        <w:t>FR: TF 5A_578/2017 du 4 août 2017</w:t>
      </w:r>
    </w:p>
    <w:p>
      <w:r>
        <w:t>IT: TF 5A_578/2017 del 4 agosto 2017</w:t>
      </w:r>
    </w:p>
    <w:p>
      <w:pPr>
        <w:pStyle w:val="Heading2"/>
      </w:pPr>
      <w:r>
        <w:t>Erwägungen</w:t>
      </w:r>
    </w:p>
    <w:p>
      <w:r>
        <w:rPr>
          <w:b/>
        </w:rPr>
        <w:t>E. 1</w:t>
      </w:r>
    </w:p>
    <w:p>
      <w:r>
        <w:t>Gegen den angefochtenen Entscheid steht die Beschwerde offen (Art. 72 Abs. 2 lit. b Ziff. 6, Art. 75 Abs. 1 und Art. 90 BGG ). Allerdings kann der Vater den Sohn trotz Vorlage einer Generalvollmacht im bundesgerichtlichen Verfahren nicht vertreten, weil die gewillkürte Prozessvertretung Rechtsanwälten im Sinn des BGFA vorbehalten ist ( Art. 40 Abs. 1 BGG ). Eine Rückweisung der Eingabe zur Verbesserung durch Unterschrift seitens des Sohnes ( Art. 42 Abs. 5 BGG ) erübrigt sich insoweit, als auf die Beschwerde ohnehin nicht eingetreten werden kann.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erschöpft sich im Vorbringen, man beschwere sich über die Art und Weise, wie die kantonale Beschwerde trotz Verfahrensfehlern abgehandelt worden sei, wobei man auf die bisherigen Eingaben verweise. Darin ist weder ein Rechtsbegehren noch eine hinreichende Begründung - geschweige denn eine Auseinandersetzung mit dem angefochtenen Entscheid - enthalten, da blosse Verweise auf kantonale Eingaben unzulässig sind ( BGE 133 II 396 E. 3.1 S. 400; 140 III 115 E. 2 S. 116).</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