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5A_577/2025 vom 19. August 2025</w:t>
      </w:r>
    </w:p>
    <w:p>
      <w:r>
        <w:t>Bundesgericht, 2025-08-19, DE</w:t>
      </w:r>
    </w:p>
    <w:p>
      <w:r>
        <w:rPr>
          <w:b/>
        </w:rPr>
        <w:t xml:space="preserve">Quelle: </w:t>
      </w:r>
      <w:r>
        <w:t>https://mcp.opencaselaw.ch/entscheid/bger_5A_577_2025</w:t>
      </w:r>
    </w:p>
    <w:p>
      <w:r>
        <w:t>FR: TF 5A_577/2025 du 19 août 2025</w:t>
      </w:r>
    </w:p>
    <w:p>
      <w:r>
        <w:t>IT: TF 5A_577/2025 del 19 agosto 2025</w:t>
      </w:r>
    </w:p>
    <w:p>
      <w:pPr>
        <w:pStyle w:val="Heading2"/>
      </w:pPr>
      <w:r>
        <w:t>Erwägungen</w:t>
      </w:r>
    </w:p>
    <w:p>
      <w:r>
        <w:rPr>
          <w:b/>
        </w:rPr>
        <w:t>E. 1</w:t>
      </w:r>
    </w:p>
    <w:p>
      <w:r>
        <w:t>Die Beschwerde hat ein Rechtsbegehren in der Sache zu enthalten ( Art. 42 Abs. 1 BGG ).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Der Beschwerde mangelt es an einem expliziten Rechtsbegehren; sinngemäss wird die Beiständin abgelehnt. Inhaltlich besteht die Beschwerde aus appellatorisch vorgetragenen Sachverhaltsbehauptungen sowie dem Vorwurf, die KESB und die Beiständin würden lügen und eigenmächtig handeln. Willkürrügen in Bezug auf die Sachverhaltsfeststellungen im angefochtenen Entscheid oder eine sachgerichtete Auseinandersetzung mit den rechtlichen Erwägungen des angefochtenen Entscheides sind nicht auszumachen.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