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5A_577/2020 vom 16. Dezember 2020</w:t>
      </w:r>
    </w:p>
    <w:p>
      <w:r>
        <w:t>Bundesgericht, 2020-12-16, FR</w:t>
      </w:r>
    </w:p>
    <w:p>
      <w:r>
        <w:rPr>
          <w:b/>
        </w:rPr>
        <w:t xml:space="preserve">Quelle: </w:t>
      </w:r>
      <w:r>
        <w:t>https://mcp.opencaselaw.ch/entscheid/bger_5A_577_2020</w:t>
      </w:r>
    </w:p>
    <w:p>
      <w:r>
        <w:t>FR: TF 5A_577/2020 du 16 décembre 2020</w:t>
      </w:r>
    </w:p>
    <w:p>
      <w:r>
        <w:t>IT: TF 5A_577/2020 del 16 dicembre 2020</w:t>
      </w:r>
    </w:p>
    <w:p>
      <w:pPr>
        <w:pStyle w:val="Heading2"/>
      </w:pPr>
      <w:r>
        <w:t>Erwägungen</w:t>
      </w:r>
    </w:p>
    <w:p>
      <w:r>
        <w:rPr>
          <w:b/>
        </w:rPr>
        <w:t>E. 1.1</w:t>
      </w:r>
    </w:p>
    <w:p>
      <w:r>
        <w:t>Introduit en temps utile ( art. 100 al. 1 LTF ) et dans les formes légales ( art. 42 al. 1 LTF ), le recours est dirigé contre une décision finale ( art. 90 LTF ; ATF 133 III 393 consid. 4) rendue sur recours par une autorité supérieure statuant en dernière instance cantonale ( art. 75 al. 1 et 2 LTF ), dans une affaire matrimoniale ( art. 72 al. 1 LTF ). Le recourant a participé à la procédure devant l'autorité précédente et a un intérêt digne de protection à la modification ou l'annulation de la décision entreprise ( art. 76 al. 1 LTF ).</w:t>
      </w:r>
    </w:p>
    <w:p>
      <w:r>
        <w:t>Le litige est de nature pécuniaire. Dès lors que la détermination de la valeur litigieuse dépend des conclusions restées lirigieuses devant l'autorité précédente ( art. 51 al. 1 let. a LTF ) - conclusions que la cour cantonale a considéré comme inexistantes, ce que conteste le recourant -, il suffisait au recourant de rendre vraisemblable que la valeur litigieuse de 30'000 fr. requise est atteinte (art. 51 al. 4 et 74 al. 1 let. b LTF; voir pour le surplus la théorie de la double pertinence; parmi plusieurs, arrêt 5A_689/2019 du 5 mars 2020 consid. 1.1.2 et les références). Il est douteux que les allégations du recourant soient ici suffisantes, celui-ci ne donnant aucune indication sur la valeur litigieuse dans la partie " recevabilité " de son recours et se limitant à indiquer, dans les motifs de son recours, qu'il a, dans son appel, " conclu implicitement à une nouvelle fixation des contributions d'entretien en faveur de ses filles sur la base du revenu qu'il est susceptible de réaliser dans l'Etat de son domicile, à savoir la Serbie ", sans toutefois chiffrer ses conclusions à cet égard. Quoi qu'il en soit, autant que recevable, le recours devrait de toute manière être rejeté (cf. infra consid. 6), de sorte qu'il n'y a pas lieu de se pencher plus avant sur cette question.</w:t>
      </w:r>
    </w:p>
    <w:p>
      <w:r>
        <w:rPr>
          <w:b/>
        </w:rPr>
        <w:t>E. 1.2</w:t>
      </w:r>
    </w:p>
    <w:p>
      <w:r>
        <w:t>Dans un cas où, comme en l'espèce, l'autorité cantonale n'est pas entrée en matière sur l'appel, une admission du présent recours entraînerait le renvoi de la cause à cette autorité, afin que les justiciables ne soient pas privés d'un degré de juridiction ( ATF 138 III 46 consid. 1.2; parmi plusieurs: arrêt 5A_356/2020 du 9 juillet 2020 consid. 2.2 et les références). Les conclusions purement cassatoires prises par le recourant sont donc recevables ( ATF 136 V 131 consid. 1.2; 134 III 379 consid. 1.3).</w:t>
      </w:r>
    </w:p>
    <w:p>
      <w:r>
        <w:rPr>
          <w:b/>
        </w:rPr>
        <w:t>E. 2.1</w:t>
      </w:r>
    </w:p>
    <w:p>
      <w:r>
        <w:t>Comme la décision attaquée porte sur des mesures provisionnelles au sens de l' art. 98 LTF ( ATF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3</w:t>
      </w:r>
    </w:p>
    <w:p>
      <w:r>
        <w:t>L'autorité cantonale a considéré que l'acte d'appel, qui avait été déposé sous forme de photocopie, n'était pas muni d'une signature manuscrite, de sorte qu'il était irrecevable pour ce motif déjà. Il l'était également faute de comporter des conclusions et une motivation. En effet, l'appelant se bornait à " conteste[r] cette décision et les mesures " prises à son encontre, en expliquant que les déclarations de son épouse selon lesquelles il vivait en France n'étaient pas justes et qu'étant ressortissant de Serbie, il ne pourrait en aucun cas travailler en Europe. L'acte d'appel ne comportait toutefois ni conclusion, ni argumentation prenant appui sur le raisonnement du premier juge.</w:t>
      </w:r>
    </w:p>
    <w:p>
      <w:r>
        <w:rPr>
          <w:b/>
        </w:rPr>
        <w:t>E. 4</w:t>
      </w:r>
    </w:p>
    <w:p>
      <w:r>
        <w:t>Le recourant fait grief à la cour cantonale d'avoir violé son droit à un procès équitable ( art. 6 CEDH ) et l'interdiction du formalisme excessif, en particulier, d'avoir appliqué de manière trop stricte l' art. 311 CPC , en considérant que son appel était dépourvu de motifs. Il souligne qu'il n'était pas assisté par un conseil professionnel durant la procédure cantonale, ce qui aurait dû conduire le Juge délégué à faire preuve d'une certaine souplesse s'agissant des exigences de motivation de son appel, et qu'il est domicilié à l'étranger et frappé d'une interdiction d'entrée sur le territoire suisse, de sorte qu'il n'a pas été en mesure de participer normalement à la procédure de première instance. Il ajoute que la dernière audience de première instance a eu lieu le 5 février 2020, soit en pleine pandémie, de sorte que même au bénéfice d'un sauf-conduit, il ne pouvait que difficilement s'y rendre afin de faire valoir ses droits. Il soutient que la motivation de son acte d'appel était compréhensible et ne nécessitait pas d'efforts particuliers d'interprétation, puisqu'il y indiquait qu'il ne vivait pas en France, mais en Serbie, et que c'était donc à tort que le premier juge lui avait imputé un revenu hypothétique de 1'765 Euros par mois.</w:t>
      </w:r>
    </w:p>
    <w:p>
      <w:r>
        <w:rPr>
          <w:b/>
        </w:rPr>
        <w:t>E. 5</w:t>
      </w:r>
    </w:p>
    <w:p>
      <w:r>
        <w:t>Selon la jurisprudence, pour satisfaire à son obligation de motivation de l'appel prévue par l' art. 311 al. 1 CPC ,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 ATF 141 III 569 consid. 2.3.3; 138 III 374 consid. 4.3.1). Même si l'instance d'appel applique le droit d'office ( art. 57 CPC ),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 ATF 141 III 69 consid. 2.3.3). Lorsqu'elle examine un acte déposé par une partie non assistée ne disposant pas d'une formation juridique, l'autorité d'appel ne doit pas se montrer trop stricte s'agissant de l'exigence de motivation (arrêt 5A_635/2015 du 21 juin 2016 consid. 5.2 et les références). C omme tous les actes de procédure, l'appel doit être interprété selon les règles de la bonne foi (arrêt 5A_635/2015 du 21 juin 2016 consid. 5.3 et la référence).</w:t>
      </w:r>
    </w:p>
    <w:p>
      <w:r>
        <w:rPr>
          <w:b/>
        </w:rPr>
        <w:t>E. 6</w:t>
      </w:r>
    </w:p>
    <w:p>
      <w:r>
        <w:t>En tant que le recourant fonde son argumentation sur des faits qui ne ressortent pas de l'arrêt querellé, sans soulever de grief circonstancié à cet égard, sa critique est irrecevable (cf. supra consid. 2.2). Tel est notamment le cas de son allégation selon laquelle il serait frappé d'une interdiction d'entrée en Suisse, élément dont on ne discerne au demeurant pas la pertinence s'agissant de l'issue du présent recours, qui a uniquement pour objet la question de la recevabilité de l'appel. Comme l'a correctement relevé l'autorité cantonale, le recourant a exposé dans son appel, de manière toute générale, qu'il ne vivrait pas en France mais en Serbie et qu'il ne pourrait pas travailler en Europe, mais n'a fourni aucune argumentation claire en lien avec la décision de première instance. D'ailleurs, contrairement à ce qu'il soutient dans le présent recours, le recourant n'a nullement indiqué dans son appel " que c'est donc à tort que le Président du Tribunal d'arrondissement lui a imputé un revenu hypothétique de EUR 1'765 par mois ". En définitive, c'est à juste titre que le Juge délégué a considéré que, sur le fond, l'acte d'appel, même rédigé par un non-juriste, ne répondait pas aux exigences de motivation posées en la matière, puisqu'il ne permettait pas de comprendre sur quels points l'ordonnance de mesures protectrices de l'union conjugale du 5 mars 2020 serait erronée. Il sera encore relevé que, si la validité d'un moyen de droit présuppose, en vertu d'une règle légale expresse, une motivation - même minimale -, en exiger une ne saurait constituer une violation du droit d'être entendu ou de l'interdiction du formalisme excessif ( ATF 134 II 244 consid. 2.4.2 et les références).</w:t>
      </w:r>
    </w:p>
    <w:p>
      <w:r>
        <w:t>Ces considérations scellent le sort du recours. Il n'y a dès lors pas lieu de se prononcer sur les griefs du recourant relatifs au défaut de conclusions de l'acte d'appel, ni sur le point de savoir si, ainsi qu'il le soutient, l'autorité cantonale a fait preuve de formalisme excessif en considérant que l'appel, adressé par La Poste mais contenant une signature photocopiée, devait être assimilé à un envoi par fax, pour lequel, selon la jurisprudence, il n'y a pas lieu de donner à l'appelant la possibilité de remédier au vice de forme, l'absence de signature originale ne résultant, dans ce cas, pas d'une inadvertance ( ATF 121 II 252 consid. 3; arrêt 4D_2/2013 du 1er mai 2013 consid. 3.1).</w:t>
      </w:r>
    </w:p>
    <w:p>
      <w:r>
        <w:rPr>
          <w:b/>
        </w:rPr>
        <w:t>E. 7</w:t>
      </w:r>
    </w:p>
    <w:p>
      <w:r>
        <w:t>En conclusion, le recours doit être rejeté dans la mesure de sa recevabilité, aux frais du recourant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