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5A_575/2020 vom 15. Juli 2020</w:t>
      </w:r>
    </w:p>
    <w:p>
      <w:r>
        <w:t>Bundesgericht, 2020-07-15, FR</w:t>
      </w:r>
    </w:p>
    <w:p>
      <w:r>
        <w:rPr>
          <w:b/>
        </w:rPr>
        <w:t xml:space="preserve">Quelle: </w:t>
      </w:r>
      <w:r>
        <w:t>https://mcp.opencaselaw.ch/entscheid/bger_5A_575_2020</w:t>
      </w:r>
    </w:p>
    <w:p>
      <w:r>
        <w:t>FR: TF 5A_575/2020 du 15 juillet 2020</w:t>
      </w:r>
    </w:p>
    <w:p>
      <w:r>
        <w:t>IT: TF 5A_575/2020 del 15 luglio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Statuant le 22 octobre 2019 par voie de mesures provisionnelles (cause OTPI/672/2019), le Tribunal de première instance de Genève a, entre autres points, autorisé B.________ à résilier le bail du logement commun (ch. 1) et l'a condamné à verser à A.________, par mois et d'avance, une contribution d'entretien de 2'800 fr. dès le prononcé des mesures (ch. 4); il a retenu que le logement commun des partenaires était vacant depuis janvier 2019 et qu'il ne se justifiait pas d'en attribuer la jouissance à A.________, celui-ci résidant en Russie.</w:t>
      </w:r>
    </w:p>
    <w:p>
      <w:r>
        <w:t>Par arrêt du 28 mai 2020, la Chambre civile de la Cour de justice du canton de Genève a confirmé cette ordonnance.</w:t>
      </w:r>
    </w:p>
    <w:p>
      <w:r>
        <w:rPr>
          <w:b/>
        </w:rPr>
        <w:t>E. 2</w:t>
      </w:r>
    </w:p>
    <w:p>
      <w:r>
        <w:t>Par écriture expédiée le 26 juin 2020, A.________ interjette un "</w:t>
      </w:r>
    </w:p>
    <w:p>
      <w:r>
        <w:t>appeal " contre l'ordonnance de première instance et l'arrêt de la Cour de justice; il sollicite le bénéfice de l'assistance judiciaire et l'octroi de l'effet suspensif.</w:t>
      </w:r>
    </w:p>
    <w:p>
      <w:r>
        <w:t>Des observations n'ont pas été requises.</w:t>
      </w:r>
    </w:p>
    <w:p>
      <w:r>
        <w:rPr>
          <w:b/>
        </w:rPr>
        <w:t>E. 3.1</w:t>
      </w:r>
    </w:p>
    <w:p>
      <w:r>
        <w:t>Le mémoire de recours n'est pas rédigé dans une langue officielle, mais en anglais ( art. 42 al. 1 LTF ). Il est toutefois inutile de le renvoyer à son auteur aux fins de traduction ( art. 42 al. 6 LTF ), car le procédé est irrecevable à un autre titre (</w:t>
      </w:r>
    </w:p>
    <w:p>
      <w:r>
        <w:t>cf .</w:t>
      </w:r>
    </w:p>
    <w:p>
      <w:r>
        <w:t>infra , consid. 4; MERZ,</w:t>
      </w:r>
    </w:p>
    <w:p>
      <w:r>
        <w:t>in : BSK-BGG, 3e éd., 2018, n° 98 ad art. 42 LTF ).</w:t>
      </w:r>
    </w:p>
    <w:p>
      <w:r>
        <w:rPr>
          <w:b/>
        </w:rPr>
        <w:t>E. 3.2</w:t>
      </w:r>
    </w:p>
    <w:p>
      <w:r>
        <w:t>La présente écriture doit être traitée en tant que recours en matière civile au sens des art. 72 ss LTF , dont il n'y a pas lieu d'examiner plus avant les conditions de recevabilité.</w:t>
      </w:r>
    </w:p>
    <w:p>
      <w:r>
        <w:rPr>
          <w:b/>
        </w:rPr>
        <w:t>E. 4</w:t>
      </w:r>
    </w:p>
    <w:p>
      <w:r>
        <w:t>Il ressort de l'arrêt déféré ( art. 105 al. 1 LTF ) que le litige porte sur des mesures provisionnelles ordonnées dans le contexte d'une demande unilatérale de dissolution d'un partenariat enregistré ( art. 30 LPart ), que l'intimé a déposée le 8 mai 2019. Il s'ensuit que le recourant ne peut se plaindre que d'une violation de ses droits constitutionnels ( art. 98 LTF ), moyen qu'il doit motiver conformément à l' art. 106 al. 2 LTF ( ATF 135 III 232 consid. 1.2; 134 II 349 consid. 3 et les arrêts cités).</w:t>
      </w:r>
    </w:p>
    <w:p>
      <w:r>
        <w:t>Le mémoire de l'intéressé ne répond pas à cette exigence: il se réfère d'une manière toute générale à l' art. 8 CEDH et ne comporte aucune réfutation des motifs de la juridiction précédente, renvoyant de façon inadmissible aux "</w:t>
      </w:r>
    </w:p>
    <w:p>
      <w:r>
        <w:t>same arguments " présentés dans son "</w:t>
      </w:r>
    </w:p>
    <w:p>
      <w:r>
        <w:t>appeal to the Court of Justice " ( ATF 133 II 396 consid. 3.1). Il s'ensuit que le recours doit être écarté d'emblée ( ATF 142 III 364 consid. 2.4).</w:t>
      </w:r>
    </w:p>
    <w:p>
      <w:r>
        <w:rPr>
          <w:b/>
        </w:rPr>
        <w:t>E. 5</w:t>
      </w:r>
    </w:p>
    <w:p>
      <w:r>
        <w:t>Vu ce qui précède, le présent recours doit être déclaré irrecevable par voie de procédure simplifiée ( art. 108 al. 1 let. b LTF ). Les conclusions du recourant étaient d'emblée vouées à l'échec, ce qui implique le rejet de sa requête d'assistance judiciaire et sa condamnation aux frais de la procédure fédérale (art. 64 al. 1 et 66 al. 1 LTF). Cela étant, la requête d'effet suspensif n'a plus d'objet.</w:t>
      </w:r>
    </w:p>
    <w:p>
      <w:r>
        <w:t>Par ces motifs, la Juge présidant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