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5A_575/2019 vom 19. Juli 2019</w:t>
      </w:r>
    </w:p>
    <w:p>
      <w:r>
        <w:t>Bundesgericht, 2019-07-19, FR</w:t>
      </w:r>
    </w:p>
    <w:p>
      <w:r>
        <w:rPr>
          <w:b/>
        </w:rPr>
        <w:t xml:space="preserve">Quelle: </w:t>
      </w:r>
      <w:r>
        <w:t>https://mcp.opencaselaw.ch/entscheid/bger_5A_575_2019</w:t>
      </w:r>
    </w:p>
    <w:p>
      <w:r>
        <w:t>FR: TF 5A_575/2019 du 19 juillet 2019</w:t>
      </w:r>
    </w:p>
    <w:p>
      <w:r>
        <w:t>IT: TF 5A_575/2019 del 19 luglio 2019</w:t>
      </w:r>
    </w:p>
    <w:p>
      <w:pPr>
        <w:pStyle w:val="Heading2"/>
      </w:pPr>
      <w:r>
        <w:t>Erwägungen</w:t>
      </w:r>
    </w:p>
    <w:p>
      <w:r>
        <w:rPr>
          <w:b/>
        </w:rPr>
        <w:t>E. 1</w:t>
      </w:r>
    </w:p>
    <w:p>
      <w:r>
        <w:t>Par arrêt du 28 mai 2019, la Chambre civile de la Cour de justice du canton de Genève a déclaré recevable l'appel interjeté le 4 février 2019 par B.A.________ à l'encontre du jugement de mesures protectrices de l'union conjugale rendu le 18 janvier 2019 par le Tribunal de première instance, annulé les chiffres 6, 7 et 9 du dispositif de cet arrêt et, statuant à nouveau sur ces points, donné acte à A.A.________ de ce qu'il prendra en charge l'intégralité des frais des enfants, condamné A.A.________ à verser, en sus, une contribution d'entretien pour chacune de ses filles de 400 fr. par mois, et condamné A.A.________ à verser une contribution d'entretien en faveur de son épouse B.A.________ de 4'100 fr. par mois du 1er février 2017 au 31 mai 2018, puis de 3'600 fr. par mois à partir du 1er juin 2018.</w:t>
      </w:r>
    </w:p>
    <w:p>
      <w:r>
        <w:rPr>
          <w:b/>
        </w:rPr>
        <w:t>E. 2</w:t>
      </w:r>
    </w:p>
    <w:p>
      <w:r>
        <w:t>Par acte du 15 juillet 2019, A.A.________ exerce un recours en matière civile au Tribunal fédéral, tendant à ce que la contribution d'entretien en faveur de son épouse soit réduite à 3'522 fr. par mois maximum du 1er février 2017 au 31 mai 2018, puis à 800 fr. par mois à partir du 1er juin 2018. Au préalable, le recourant sollicite l'octroi de l'effet suspensif à son recours.</w:t>
      </w:r>
    </w:p>
    <w:p>
      <w:r>
        <w:rPr>
          <w:b/>
        </w:rPr>
        <w:t>E. 3</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 ATF 143 IV 500 consid. 1.1).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4</w:t>
      </w:r>
    </w:p>
    <w:p>
      <w:r>
        <w:t>En l'espèce, le recourant a manifestement méconnu la nature de la décision entreprise, de sorte que son grief intitulé " violation des articles 176 al. 1 ch. 1 CC cum 163 CC et 8 CC ", semble d'emblée irrecevable. Bien qu'il mentionne à plusieurs reprises le mot " arbitraire ", il n'explicite pas un grief d'arbitraire en particulier, de sorte que l'on ne discerne pas clairement quel grief, notamment d'arbitraire ( art. 9 Cst. ) dans les faits, dans l'appréciation des preuves ou dans l'application du droit, le recourant entend véritablement soulever en lien avec la profession de l'intimée (architecte d'intérieur) et sa capacité de gain, étant rappelé qu'en matière de prise en compte d'un revenu hypothétique, le juge doit, dans un premier temps, déterminer si l'on peut raisonnablement exiger d'une personne qu'elle exerce une activité lucrative ou augmente celle-ci, eu égard, notamment, à sa formation, à son âge et à son état de santé; il s'agit d'une question de droit ( ATF 143 III 233 consid. 3.2; 137 III 102 consid. 4.2.2.2), puis, dans un second temps, il doit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128 III 4 consid. 4c/bb). Or, le recourant se limite à présenter et à substituer son appréciation de la cause - en tenant compte d'éléments de faits non retenus dans l'arrêt entrepris - à celle de l'autorité cantonale, en mélangeant les deux étapes du raisonnement et sans établir le caractère prétendument arbitraire ou contraire à l'un de ses droits fondamentaux du résultat de la décision entreprise. Ainsi, le recourant ne décrit pas, même brièvement, quelles conséquences financières découlent de son appréciation de la cause et la manière dont il parvient à sa conclusion en réduction de l'entretien en faveur de son épouse. L'argumentation du recourant est en conséquence également appellatoire et doit donc être déclarée d'emblée irrecevable ( art. 106 al. 2 LTF ).</w:t>
      </w:r>
    </w:p>
    <w:p>
      <w:r>
        <w:rPr>
          <w:b/>
        </w:rPr>
        <w:t>E. 5</w:t>
      </w:r>
    </w:p>
    <w:p>
      <w:r>
        <w:t>En conclusion, le recours ne satisfait pas aux exigences de motivation de l' art. 106 al. 2 LTF , par renvoi de l' art. 98 LTF , et doit donc être déclaré irrecevable selon la procédure simplifiée de l' art. 108 al. 1 let. b LTF , ce qui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