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5A_574/2019 vom 11. Oktober 2019</w:t>
      </w:r>
    </w:p>
    <w:p>
      <w:r>
        <w:t>Bundesgericht, 2019-10-11, DE</w:t>
      </w:r>
    </w:p>
    <w:p>
      <w:r>
        <w:rPr>
          <w:b/>
        </w:rPr>
        <w:t xml:space="preserve">Quelle: </w:t>
      </w:r>
      <w:r>
        <w:t>https://mcp.opencaselaw.ch/entscheid/bger_5A_574_2019</w:t>
      </w:r>
    </w:p>
    <w:p>
      <w:r>
        <w:t>FR: TF 5A_574/2019 du 11 octobre 2019</w:t>
      </w:r>
    </w:p>
    <w:p>
      <w:r>
        <w:t>IT: TF 5A_574/2019 del 11 ottobre 2019</w:t>
      </w:r>
    </w:p>
    <w:p>
      <w:pPr>
        <w:pStyle w:val="Heading2"/>
      </w:pPr>
      <w:r>
        <w:t>Erwägungen</w:t>
      </w:r>
    </w:p>
    <w:p>
      <w:r>
        <w:rPr>
          <w:b/>
        </w:rPr>
        <w:t>E. 1</w:t>
      </w:r>
    </w:p>
    <w:p>
      <w:r>
        <w:t>Der Beschwerdeführer stellt zahlreiche Begehren, welche bereits vom Obergericht zu Recht als unzulässig bezeichnet wurden, weil sie nicht im Zusammenhang mit der angefochtenen Verfügung stehen, welche einzig die Frage betrifft, ob das Regionalgericht die verbesserte Klage gestützt auf Art. 132 Abs. 2 ZPO ohne weitere Behandlung zurückweisen durfte.</w:t>
      </w:r>
    </w:p>
    <w:p>
      <w:r>
        <w:t>Soweit der Beschwerdeführer einen Teil dieser Begehren nunmehr auch dem Bundesgericht unterbreiten möchte (insbesondere die Feststellung von Amtspflichtsverletzungen durch den erstinstanzlichen Richter und dass dessen Verfügung arglistig gewesen sei, ferner auch die sinngemäss angesprochene Staatshaftung), ist auf die Beschwerde von vornherein nicht einzutreten, weil es unzulässig ist, mehr oder anderes zu verlangen, als von der Vorinstanz beurteilt wurde ( BGE 136 II 457 E. 4.2 S. 462 f.; 136 V 362 E. 3.4.2 S. 365 ; 142 I 155 E. 4.4.2 S. 156).</w:t>
      </w:r>
    </w:p>
    <w:p>
      <w:r>
        <w:rPr>
          <w:b/>
        </w:rPr>
        <w:t>E. 2</w:t>
      </w:r>
    </w:p>
    <w:p>
      <w:r>
        <w:t>Es bleibt zu prüfen, ob der Beschwerdeführer in Bezug auf den vorinstanzlichen Beschwerdegegenstand - eben die Frage der Nichtbehandlung nach Art. 132 Abs. 2 ZPO - zur Beschwerdeerhebung vor Bundesgericht legitimiert ist.</w:t>
      </w:r>
    </w:p>
    <w:p>
      <w:r>
        <w:t>Zur Beschwerde ist nur berechtigt, wer ein schutzwürdiges Interesse an der Aufhebung oder Änderung des angefochtenen Entscheides hat ( Art. 76 Abs. 1 lit. b BGG ). Es müssen vor der Vorinstanz Anträge gestellt worden sein, die vollständig oder teilweise abgewiesen wurden (vgl. BGE 133 III 421 E. 1.1 S. 426). Ob der Beschwerdeführer im beschriebenen Sinn beschwert ist, beurteilt sich mithin grundsätzlich nach dem Dispositiv des angefochtenen Entscheids; blosse Erwägungen bedeuten hingegen keine Beschwer ( BGE 129 III 320 E. 5.1 S. 323; 130 III 321 E. 6 S. 328). Redaktionsänderungen von Entscheiderwägungen könnten höchstens dann verlangt werden, wenn sie ausnahmsweise zur Auslegung des Dispositivs dienen (Urteil 5A_618/2015 vom 2. März 2016 E. 2.1).</w:t>
      </w:r>
    </w:p>
    <w:p>
      <w:r>
        <w:t>Vorliegend wurde die kantonale Beschwerde gutgeheissen und die Verfügung des Regionalgerichtes vom 26. März 2019 aufgehoben, verbunden mit der Möglichkeit, dass der Beschwerdeführer seine Eingabe vom 23. März 2019 wieder einreichen kann. Ferner wurden die Gerichtskosten für das Beschwerdeverfahren auf den Kanton genommen.</w:t>
      </w:r>
    </w:p>
    <w:p>
      <w:r>
        <w:t>Vor diesem Hintergrund ist nicht ersichtlich, inwiefern der Beschwerdeführer beschwert sein könnte. Er beanstandet etliche Textpassagen des angefochtenen Entscheides und hält in zahlreichen "Berichtigungsanträgen" Texte fest, durch welche er die betreffenden Passagen ersetzt sehen möchte; insbesondere stört er sich an der Aussage, dass seine Eingaben regelmässig weitschweifig und schwer leserlich sind. Dies betrifft aber lediglich die Redaktion und begründet keine Beschwer. Keine Beschwer ergibt sich ferner aus dem Vorbringen, dass das Vorgehen des erstinstanzlichen Richters und die disqualifizierenden Äusserungen des Obergerichtes zu psychosomatischen Beschwerden und Erschöpfungszuständen geführt hätten. Schliesslich erfolgen nebst der Anrufung von zahllosen verfassungsmässigen Rechten seitenlange Auszüge von Textpassagen aus Gerichtsentscheiden zur Garantie des verfassungsmässigen Richters, zum Anspruch auf rechtliches Gehör und zur Rechtsweggarantie; auch daraus ergibt sich angesichts des umfassend gutheissenden obergerichtlichen Entscheides keinerlei Beschwerdelegitimation.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