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5A_573/2021 vom 26. August 2021</w:t>
      </w:r>
    </w:p>
    <w:p>
      <w:r>
        <w:t>Bundesgericht, 2021-08-26, DE</w:t>
      </w:r>
    </w:p>
    <w:p>
      <w:r>
        <w:rPr>
          <w:b/>
        </w:rPr>
        <w:t xml:space="preserve">Quelle: </w:t>
      </w:r>
      <w:r>
        <w:t>https://mcp.opencaselaw.ch/entscheid/bger_5A_573_2021</w:t>
      </w:r>
    </w:p>
    <w:p>
      <w:r>
        <w:t>FR: TF 5A_573/2021 du 26 août 2021</w:t>
      </w:r>
    </w:p>
    <w:p>
      <w:r>
        <w:t>IT: TF 5A_573/2021 del 26 agosto 2021</w:t>
      </w:r>
    </w:p>
    <w:p>
      <w:pPr>
        <w:pStyle w:val="Heading2"/>
      </w:pPr>
      <w:r>
        <w:t>Erwägungen</w:t>
      </w:r>
    </w:p>
    <w:p>
      <w:r>
        <w:rPr>
          <w:b/>
        </w:rPr>
        <w:t>E. 1</w:t>
      </w:r>
    </w:p>
    <w:p>
      <w:r>
        <w:t>Innert der 30-tägigen Rechtsmittelfrist ist keine eigentliche Beschwerdeschrift beim Bundesgericht eingegangen oder beim Kantonsgericht zu dessen Handen eingereicht worden. Ob das Schreiben vom 9. Juli 2021 von einem genügenden Beschwerdewillen getragen ist, kann offen bleiben, da jedenfalls, soweit eine Beschwerde erhoben worden sein sollte, darauf mangels eines Rechtsbegehrens und einer Begründung ( Art. 42 Abs. 1 BGG ) im vereinfachten Verfahren nach Art. 108 Abs. 1 lit. b BGG nicht einzutreten wäre.</w:t>
      </w:r>
    </w:p>
    <w:p>
      <w:r>
        <w:rPr>
          <w:b/>
        </w:rPr>
        <w:t>E. 2</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