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573/2018 vom 11. Juli 2018</w:t>
      </w:r>
    </w:p>
    <w:p>
      <w:r>
        <w:t>Bundesgericht, 2018-07-11, DE</w:t>
      </w:r>
    </w:p>
    <w:p>
      <w:r>
        <w:rPr>
          <w:b/>
        </w:rPr>
        <w:t xml:space="preserve">Quelle: </w:t>
      </w:r>
      <w:r>
        <w:t>https://mcp.opencaselaw.ch/entscheid/bger_5A_573_2018</w:t>
      </w:r>
    </w:p>
    <w:p>
      <w:r>
        <w:t>FR: TF 5A 573/2018 du 11 juillet 2018</w:t>
      </w:r>
    </w:p>
    <w:p>
      <w:r>
        <w:t>IT: TF 5A 573/2018 del 11 luglio 2018</w:t>
      </w:r>
    </w:p>
    <w:p>
      <w:pPr>
        <w:pStyle w:val="Heading2"/>
      </w:pPr>
      <w:r>
        <w:t>Regeste</w:t>
      </w:r>
    </w:p>
    <w:p>
      <w:r>
        <w:t>Persönlicher Verkehr | Familienrecht</w:t>
      </w:r>
    </w:p>
    <w:p>
      <w:pPr>
        <w:pStyle w:val="Heading2"/>
      </w:pPr>
      <w:r>
        <w:t>Erwägungen</w:t>
      </w:r>
    </w:p>
    <w:p>
      <w:r>
        <w:rPr>
          <w:b/>
        </w:rPr>
        <w:t>E. 1</w:t>
      </w:r>
    </w:p>
    <w:p>
      <w:r>
        <w:t>Zur Entgegennahme von Strafanzeigen ist das Bundesgericht von vornherein unzuständig. Soweit sich die Eingabe gegen den obergerichtlichen Entscheid richtet, steht die Beschwerde in Zivilsachen grundsätzlich offen (Art. 72 Abs. 2 lit. b Ziff. 6, Art. 75 Abs. 1 und Art. 90 BGG ). Der Entscheid der KESB kann hingegen nicht direkt zum Anfechtungsobjekt gemacht werden, da er nicht kantonal letztinstanzlich ist ( Art. 75 Abs. 1 BGG ). Auch in Bezug auf den obergerichtlichen Entscheid kann nur die Verletzung verfassungsmässiger Rechte gerügt werden, weil es um eine vorsorgliche Massnahme geht ( Art. 98 BGG ). Hierfür gilt das strenge Rügeprinzip gemäss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 Betreffend den Verfahrensantrag auf Durchführung einer mündlichen Verhandlung ist festzuhalten, dass eine solche vor Bundesgericht nur ausnahmsweise stattfindet und die Parteien grundsätzlich keinen Anspruch darauf haben ( Art. 57 BGG ; Urteile 2C_844/2009 vom 22. November 2010 E. 3.2.3; 5A_880/2011 vom 20. Februar 2012 E. 1.5; 5A_293/2016 vom 8. August 2016 E. 1). Es ist weder dargetan noch irgendwie ersichtlich, inwiefern vorliegend vom Grundsatz abzuweichen wäre.</w:t>
      </w:r>
    </w:p>
    <w:p>
      <w:r>
        <w:rPr>
          <w:b/>
        </w:rPr>
        <w:t>E. 2</w:t>
      </w:r>
    </w:p>
    <w:p>
      <w:r>
        <w:t>In der Sache werden zwar verfassungsmässige Rechte als verletzt angerufen (namentlich Art. 5, 8 und 9 BV ), aber keinerlei inhaltlich substanziierte Verfassungsrügen erhoben. Vielmehr enthält die Beschwerde - nebst Ausführungen zu angeblichen Straftaten - einen in appellatorischer Weise erfolgenden und sich nicht auf die Erwägungen des angefochtenen Entscheides beziehenden Rundumschlag, wobei im Kern den C.________-Mitarbeitern Kindsmissbrauch und in diesem Zusammenhang den KESB-Mitgliedern und Oberrichtern vorgeworfen wird, sie würden sich alle zusammentun, um Kinder zu knechten; ferner wird dem Gutachter Käuflichkeit unterstellt. Mit solchen Ausführungen ist nicht darzutun, inwiefern der angefochtene Entscheid gegen verfassungsmässige Rechte verstossen soll.</w:t>
      </w:r>
    </w:p>
    <w:p>
      <w:r>
        <w:rPr>
          <w:b/>
        </w:rPr>
        <w:t>E. 3</w:t>
      </w:r>
    </w:p>
    <w:p>
      <w:r>
        <w:t>Insgesamt erweist sich die Beschwerde als querulatorisch und rechtsmissbräuchlich sowie als teils offensichtlich unzulässig (Strafanzeigen) und teils offensichtlich nicht hinreichend begründet, weshalb auf sie nicht eingetreten werden kann und der Präsident im vereinfachten Verfahren entscheidet (Art. 42 Abs. 7 und Art. 108 Abs. 1 lit. a und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