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573/2008 vom 15. Oktober 2008</w:t>
      </w:r>
    </w:p>
    <w:p>
      <w:r>
        <w:t>Bundesgericht, 2008-10-15, DE</w:t>
      </w:r>
    </w:p>
    <w:p>
      <w:r>
        <w:rPr>
          <w:b/>
        </w:rPr>
        <w:t xml:space="preserve">Quelle: </w:t>
      </w:r>
      <w:r>
        <w:t>https://mcp.opencaselaw.ch/entscheid/bger_5A_573_2008</w:t>
      </w:r>
    </w:p>
    <w:p>
      <w:r>
        <w:t>FR: TF 5A 573/2008 du 15 octobre 2008</w:t>
      </w:r>
    </w:p>
    <w:p>
      <w:r>
        <w:t>IT: TF 5A 573/2008 del 15 ottobre 2008</w:t>
      </w:r>
    </w:p>
    <w:p>
      <w:pPr>
        <w:pStyle w:val="Heading2"/>
      </w:pPr>
      <w:r>
        <w:t>Regeste</w:t>
      </w:r>
    </w:p>
    <w:p>
      <w:r>
        <w:t>Verfahrenssistierung (Erbteilung) | Erbrecht</w:t>
      </w:r>
    </w:p>
    <w:p>
      <w:pPr>
        <w:pStyle w:val="Heading2"/>
      </w:pPr>
      <w:r>
        <w:t>Erwägungen</w:t>
      </w:r>
    </w:p>
    <w:p>
      <w:r>
        <w:rPr>
          <w:b/>
        </w:rPr>
        <w:t>E. 1</w:t>
      </w:r>
    </w:p>
    <w:p>
      <w:r>
        <w:t>Beim angefochtenen Urteil handelt es sich nicht um einen das Verfahren abschliessenden Entscheid im Sinne von Art. 90 BGG , sondern um einen (selbständig eröffneten) Zwischenentscheid (der letzten kantonalen Instanz).</w:t>
      </w:r>
    </w:p>
    <w:p>
      <w:r>
        <w:rPr>
          <w:b/>
        </w:rPr>
        <w:t>E. 1.1</w:t>
      </w:r>
    </w:p>
    <w:p>
      <w:r>
        <w:t>Abgesehen von den in Art. 92 BGG geregelten Sonderfällen (Entscheide über die Zuständigkeit bzw. über Ausstandsbegehren) und dem hier ebenfalls ausser Betracht stehenden Fall von Art. 93 Abs. 1 lit. b BGG (Möglichkeit der sofortigen Herbeiführung eines Endentscheids), ist die Beschwerde in Zivilsachen wie auch die subsidiäre Verfassungsbeschwerde (hierzu Art. 117 BGG ) gegen Zwischenentscheide nur dann zulässig, wenn sie einen nicht wieder gutzumachenden Nachteil bewirken können ( Art. 93 Abs. 1 lit. a BGG ). Der Begriff des nicht wieder gutzumachenden Nachteils entspricht demjenigen, der Art. 87 Abs. 2 OG zugrunde lag, so dass zu seiner Auslegung die Rechtsprechung zu jener Bestimmung heranzuziehen ist ( BGE 133 III 629 E. 2.3 S. 632 mit Hinweis). Darnach muss es sich um einen Nachteil rechtlicher Natur handeln, der sich auch mit einem späteren günstigen Entscheid nicht gänzlich beseitigen lässt ( BGE 133 IV 139 , E. 4 S. 141, 288, E. 3.1 S. 291, und 335, E. 4 S. 338; mit Hinweisen). Die Erfüllung dieser Voraussetzung ist in der Beschwerde darzutun, es sei denn, dass sie offensichtlich sei ( BGE 133 III 629 E. 2.3.1 S. 632 mit Hinweis).</w:t>
      </w:r>
    </w:p>
    <w:p>
      <w:r>
        <w:rPr>
          <w:b/>
        </w:rPr>
        <w:t>E. 1.2</w:t>
      </w:r>
    </w:p>
    <w:p>
      <w:r>
        <w:t>Einen Nachteil der dargelegten Art hält die Beschwerdeführerin hier deshalb für gegeben, weil der erstinstanzliche Richter aufgrund der von der Vorinstanz angeordneten Aufhebung der Sistierung im weiteren Verlauf des Erbteilungsverfahrens entscheiden müsse, ob der Erbmasse eine Forderung gegen ihren Ehemann, d.h. gegen eine Drittperson, die im Prozess nicht Partei sei, zustehe. Mit der Feststellung des Umfangs des Nachlasses werde über die Frage der Zugehörigkeit einer solchen Forderung zur Erbmasse in materiellrechtlicher Hinsicht endgültig entschieden. Die Vollstreckung gegen eine am Verfahren nicht beteiligte Person sei ausgeschlossen und ein für sie hinsichtlich der Feststellung der Erbmasse günstiger Endentscheid wäre nicht mehr möglich.</w:t>
      </w:r>
    </w:p>
    <w:p>
      <w:r>
        <w:rPr>
          <w:b/>
        </w:rPr>
        <w:t>E. 1.3</w:t>
      </w:r>
    </w:p>
    <w:p>
      <w:r>
        <w:t>In der Tatsache, dass bei einer Nichtzulassung der Beschwerden die Frage der Sistierung zu einem späteren Zeitpunkt nicht mehr aufgeworfen werden kann, erblickt die Beschwerdeführerin zu Recht keinen nicht wieder gutzumachenden rechtlichen Nachteil. Mit dem, was sie zur Darlegung eines solchen Nachteils vorbringt, verkennt sie indessen die Rechtslage: Soweit die Parteien damit einverstanden sind, kann der Erbteilungsrichter eine als zur Erbschaft gehörend bezeichnete unsichere Forderung gegen eine Drittperson einem der Erben definitiv zur Weiterverfolgung zuweisen. Fehlt ein Einverständnis, ist ein umfassender Entscheid ausgeschlossen, solange Bestand und Umfang einer solchen Forderung nicht feststehen. Gegebenenfalls ist der Erbteilungsprozess ohne Einbeziehung der (noch) unbestimmten Forderung durchzuführen und eine umfangmässig entsprechend beschränkte Teilung anzuordnen. Die Verhältnisse liegen hier ähnlich wie dort, wo nach durchgeführter Teilung weiteres Erbschaftsvermögen zum Vorschein kommt, dessen Teilung mit einer zweiten Erbteilungsklage verlangt werden kann (dazu BGE 75 II 288 E. 3 S. 292). Wird die Erbteilung angeordnet, ohne das Ergebnis der Auseinandersetzung mit der Drittperson abzuwarten, kann auch in einem Fall der vorliegenden Art mit einer zweiten Klage die Teilung des von dieser zu erbringenden Betrags verlangt werden. Die von der Vorinstanz angeordnete Aufhebung der Sistierung kann demnach zur Folge haben, dass ein zweiter Teilungsprozess durchzuführen sein wird. Soweit damit überhaupt ein Nachteil verbunden sein könnte (allfälliger Mehraufwand an Zeit und Kosten), wäre dieser rein tatsächlicher Natur. Ein rechtlicher Nachteil bestünde dagegen nicht, da bezüglich der Forderung des Nachlasses, die gegen den Ehemann der Beschwerdeführerin allenfalls besteht, die Teilung jederzeit verlangt werden kann.</w:t>
      </w:r>
    </w:p>
    <w:p>
      <w:r>
        <w:rPr>
          <w:b/>
        </w:rPr>
        <w:t>E. 2</w:t>
      </w:r>
    </w:p>
    <w:p>
      <w:r>
        <w:t>Vermag das angefochtene Urteil nach dem Gesagten keinen nicht wieder gutzumachenden Nachteil im Sinne von Art. 93 Abs. 1 lit. a BGG zu bewirken, ist weder auf die Beschwerde in Zivilsachen noch auf die subsidiäre Verfassungsbeschwerde einzutreten. Unter den gegebenen Umständen erübrigen sich Ausführungen zum Streitwert ( Art. 74 BGG ). Ebenso wenig braucht erörtert zu werden, ob der Entscheid über die Sistierung des Verfahrens eine vorsorgliche Massnahme im Sinne von Art. 98 BGG darstellt und damit die Beschwerdegründe entsprechend beschränkt wären.</w:t>
      </w:r>
    </w:p>
    <w:p>
      <w:r>
        <w:rPr>
          <w:b/>
        </w:rPr>
        <w:t>E. 3</w:t>
      </w:r>
    </w:p>
    <w:p>
      <w:r>
        <w:t>Die Gerichtskosten sind ausgangsgemäss der Beschwerdeführerin aufzuerlegen ( Art. 66 Abs. 1 BGG ). Da keine Vernehmlassungen zur Beschwerde eingeholt worden und der Beschwerdegegnerin somit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