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5A_572/2020 vom 5. August 2020</w:t>
      </w:r>
    </w:p>
    <w:p>
      <w:r>
        <w:t>Bundesgericht, 2020-08-05, FR</w:t>
      </w:r>
    </w:p>
    <w:p>
      <w:r>
        <w:rPr>
          <w:b/>
        </w:rPr>
        <w:t xml:space="preserve">Quelle: </w:t>
      </w:r>
      <w:r>
        <w:t>https://mcp.opencaselaw.ch/entscheid/bger_5A_572_2020</w:t>
      </w:r>
    </w:p>
    <w:p>
      <w:r>
        <w:t>FR: TF 5A_572/2020 du 5 août 2020</w:t>
      </w:r>
    </w:p>
    <w:p>
      <w:r>
        <w:t>IT: TF 5A_572/2020 del 5 agosto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époux A.________ et B.________ se sont mariés le 5 septembre 2002; ils ont trois enfants: C.________ (né en 2002), D.________ (né en 2004) et E.________ (née en 2007). Leur divorce a été prononcé le 22 mai 2017; ce jugement prévoit le maintien de l'autorité parentale en commun sur les enfants et l'attribution de la garde de fait à la mère, avec fixation d'un droit de visite usuel en faveur du père. Par arrêt du 3 octobre 2017, la Cour d'appel civile du Tribunal cantonal du canton de Neuchâtel a confirmé ce jugement.</w:t>
      </w:r>
    </w:p>
    <w:p>
      <w:r>
        <w:rPr>
          <w:b/>
        </w:rPr>
        <w:t>E. 2</w:t>
      </w:r>
    </w:p>
    <w:p>
      <w:r>
        <w:t>Le 15 octobre 2018, A.________ a ouvert action en modification du jugement de divorce, concluant à l'attribution de la garde sur les trois enfants et au versement par la mère de pensions mensuelles pour leur entretien. Le 19 février 2019, il a sollicité des mesures provisionnelles tendant à l'attribution de la garde de fait sur l'enfant D.________.</w:t>
      </w:r>
    </w:p>
    <w:p>
      <w:r>
        <w:t>Statuant le 5 février 2020, le Tribunal civil des Montagnes et du Val-de-Ruz a rejeté la requête de mesures provisionnelles (ch. 1). Par arrêt du 5 juin 2020, la Cour d'appel civile du Tribunal cantonal du canton de Neuchâtel a rejeté l'appel du père et confirmé cette décision.</w:t>
      </w:r>
    </w:p>
    <w:p>
      <w:r>
        <w:rPr>
          <w:b/>
        </w:rPr>
        <w:t>E. 3</w:t>
      </w:r>
    </w:p>
    <w:p>
      <w:r>
        <w:t>Par écriture mise à la poste le 9 juillet 2020, le père exerce un recours en matière civile au Tribunal fédéral, concluant à ce que l'arrêt attaqué soit annulé et la cause renvoyée à l'autorité précédente pour audition de l'enfant D.________ et nouvelle décision; il demande l'octroi de l'assistance judiciaire totale pour la procédure fédérale.</w:t>
      </w:r>
    </w:p>
    <w:p>
      <w:r>
        <w:rPr>
          <w:b/>
        </w:rPr>
        <w:t>E. 4</w:t>
      </w:r>
    </w:p>
    <w:p>
      <w:r>
        <w:t>Par courrier du 23 juillet 2020, le conseil du recourant a informé la Cour de céans que son mandat entendait retirer le recours.</w:t>
      </w:r>
    </w:p>
    <w:p>
      <w:r>
        <w:rPr>
          <w:b/>
        </w:rPr>
        <w:t>E. 5.1</w:t>
      </w:r>
    </w:p>
    <w:p>
      <w:r>
        <w:t>En règle générale, la partie qui retire son recours est considérée comme une partie qui succombe, de sorte qu'elle doit être en principe condamnée au paiement des frais judiciaires ( art. 66 al. 1 LTF ). Ceux-ci peuvent cependant être réduits, voire remis, lorsque l'affaire est réglée par un désistement, sans avoir occasionné un travail considérable au Tribunal fédéral ( art. 66 al. 2 LTF ); cette dernière condition est remplie en l'espèce, où le recours a été retiré quelques jours seulement après son dépôt.</w:t>
      </w:r>
    </w:p>
    <w:p>
      <w:r>
        <w:rPr>
          <w:b/>
        </w:rPr>
        <w:t>E. 5.2</w:t>
      </w:r>
    </w:p>
    <w:p>
      <w:r>
        <w:t>La requête d'assistance judiciaire - qui n'a pas été réitérée dans la déclaration de retrait (</w:t>
      </w:r>
    </w:p>
    <w:p>
      <w:r>
        <w:t>cf . ordonnances 4A_49/2015 du 29 avril 2015; 5A_708/2016 du 19 décembre 2016 consid. 4; 5A_787/2019 du 8 juillet 2020 consid. 3) - doit en revanche être rejetée, faute de chances de succès du recours ( art. 64 al. 1 LTF ).</w:t>
      </w:r>
    </w:p>
    <w:p>
      <w:r>
        <w:t>En l'espèce, les conclusions du recours tendent au renvoi de la cause aux fins d'audition de l'enfant D.________. Or, les motifs pour lesquels les juges précédents ont rejeté cette réquisition de preuve (</w:t>
      </w:r>
    </w:p>
    <w:p>
      <w:r>
        <w:t>i.e. existence d'un conflit de loyauté et souhait de l'enfant - né en 2004 - de ne pas être entendu une nouvelle fois en justice) résistent au grief de violation des droits constitutionnels ( art. 98 LTF ), le recourant exposant en définitive sa propre appréciation de la situation. En outre, l'autorité cantonale n'a pas affirmé que le refus de l'</w:t>
      </w:r>
    </w:p>
    <w:p>
      <w:r>
        <w:t>audition s'imposait également parce que l'enfant a pu "</w:t>
      </w:r>
    </w:p>
    <w:p>
      <w:r>
        <w:t>faire entendre son avis par l'intermédiaire de sa curatrice de représentation "; elle a au contraire réfuté cet argument, en relevant que le premier juge n'avait pas délégué cette audition à la curatrice de représentation, mais avait entendu lui-même l'enfant avant de désigner celle-ci pour lui permettre d'être représenté et d'exprimer son point de vue dans la procédure, une telle mesure s'avérant nécessaire au sens de l' art. 299 al. 1 CPC . Dépourvu d'une réfutation conforme à l' art. 106 al. 2 LTF , le recours eût été irrecevable à cet égard ( ATF 142 III 364 consid. 2.4).</w:t>
      </w:r>
    </w:p>
    <w:p>
      <w:r>
        <w:rPr>
          <w:b/>
        </w:rPr>
        <w:t>E. 5.3</w:t>
      </w:r>
    </w:p>
    <w:p>
      <w:r>
        <w:t>En conclusion, il y a lieu de prendre acte du retrait du recours et de rayer la cause du rôle ( art. 73 PCF , par renvoi de l' art. 71 LTF ), aux frais du recourant ( art. 66 al. 1 et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