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5A_571/2025 vom 30. Oktober 2025</w:t>
      </w:r>
    </w:p>
    <w:p>
      <w:r>
        <w:t>Bundesgericht, 2025-10-30, FR</w:t>
      </w:r>
    </w:p>
    <w:p>
      <w:r>
        <w:rPr>
          <w:b/>
        </w:rPr>
        <w:t xml:space="preserve">Quelle: </w:t>
      </w:r>
      <w:r>
        <w:t>https://mcp.opencaselaw.ch/entscheid/bger_5A_571_2025</w:t>
      </w:r>
    </w:p>
    <w:p>
      <w:r>
        <w:t>FR: TF 5A_571/2025 du 30 octobre 2025</w:t>
      </w:r>
    </w:p>
    <w:p>
      <w:r>
        <w:t>IT: TF 5A_571/2025 del 30 ottobre 2025</w:t>
      </w:r>
    </w:p>
    <w:p>
      <w:pPr>
        <w:pStyle w:val="Heading2"/>
      </w:pPr>
      <w:r>
        <w:t>Erwägungen</w:t>
      </w:r>
    </w:p>
    <w:p>
      <w:r>
        <w:rPr>
          <w:b/>
        </w:rPr>
        <w:t>E. 1</w:t>
      </w:r>
    </w:p>
    <w:p>
      <w:r>
        <w:t>Les conditions de recevabilité du recours en matière civile sont ici réalisées (art. 72 al. 1, art. 75 al. 1 et 2, art. 76 al. 1 let. a et b, art. 90 et 100 al. 1 LTF ), étant précisé que la cause n'est pas de nature pécuniaire.</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w:t>
      </w:r>
    </w:p>
    <w:p>
      <w:r>
        <w:t>Aucun fait nouveau ni preuve nouvelle ne peut être présenté à moins de résulter de la décision de l'autorité précédente ( art. 99 al. 1 LTF ). Est ainsi irrecevable la "pièce nouvelle" (en l'occurrence une attestation médicale) produite par la recourante, de surcroît postérieurement à son recours.</w:t>
      </w:r>
    </w:p>
    <w:p>
      <w:r>
        <w:rPr>
          <w:b/>
        </w:rPr>
        <w:t>E. 3</w:t>
      </w:r>
    </w:p>
    <w:p>
      <w:r>
        <w:t>Dans ses conclusions, la recourante sollicite la mise en oeuvre d'une contre-expertise.</w:t>
      </w:r>
    </w:p>
    <w:p>
      <w:r>
        <w:t>Cette requête ne fait l'objet d'aucune motivation particulière dans le cadre du recours lui-même. Tout au plus peut-on saisir, dans l'argumentation concernant le grief de la violation de son droit d'être entendue en lien avec l'application de l' art. 310 al. 1 CC , que la recourante paraît remettre en cause la valeur probante de l'expertise ordonnée par le premier juge, sur laquelle les autorités cantonales se sont largement fondées pour ordonner le placement des enfants en foyer. À défaut toutefois de toute critique pertinente d'arbitraire dans l'appréciation des preuves sur ce point (cf. ATF 141 IV 369 consid. 6.1; arrêt 5A_300/2025 du 3 juillet 2025 consid. 6.2.4), il ne sera pas entré en matière sur cette conclusion.</w:t>
      </w:r>
    </w:p>
    <w:p>
      <w:r>
        <w:rPr>
          <w:b/>
        </w:rPr>
        <w:t>E. 4</w:t>
      </w:r>
    </w:p>
    <w:p>
      <w:r>
        <w:t>La recourante conteste la mesure de placement. Outre la violation de l' art. 310 al. 1 CC , la recourante se prévaut de la violation de son droit d'être entendue dans le contexte de l'application de la disposition légale précitée.</w:t>
      </w:r>
    </w:p>
    <w:p>
      <w:r>
        <w:rPr>
          <w:b/>
        </w:rPr>
        <w:t>E. 4.1.1</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(parmi plusieurs: arrêts 5A_390/2025, 5A_391/2025 du 30 septembre 2025 consid. 4.1.1; 5A_181/2025 du 23 juillet 2025 consid. 6.1.2 et les références). Les raisons de la mise en danger du développement importent peu: elles peuvent être liées au milieu dans lequel évolue l'enfant ou résider dans le comportement inadéquat de celui-ci, des parents ou d'autres personnes de l'entourage; dès lors qu'il s'agit d'une mesure servant à protéger l'enfant, il est sans pertinence que les parents n'aient pas commis de faute (arrêt 5A_181/2025 précité</w:t>
      </w:r>
    </w:p>
    <w:p>
      <w:r>
        <w:t>loc. cit. et les références; cf. ég. ATF 146 III 313 consid. 6.2.2). Il convient par ailleurs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(arrêts 5A_390/2025, 5A_391/2025 précité</w:t>
      </w:r>
    </w:p>
    <w:p>
      <w:r>
        <w:t>loc. cit. et les références; 5A_911/2023 du 27 février 2024 consid. 4.1.1 et les références). Une mesure de retrait du droit de déterminer le lieu de résidence de l'enfant n'est ainsi légitime que s'il n'est pas possible de prévenir le danger par les mesures moins énergiques prévues aux art. 307 et 308 CC (principes de proportionnalité et de subsidiarité; cf. ATF 146 III 313 consid. 6.2.7).</w:t>
      </w:r>
    </w:p>
    <w:p>
      <w:r>
        <w:t>Les circonstances permettant d'établir ou d'écarter une mise en danger du bien de l'enfant relèvent de l'établissement des faits. Déterminer si, sur la base de ces circonstances, le bien de l'enfant est menacé, constitue en revanche une question de droit ( ATF 146 III 313 consid. 6.2.2). A cet égard et dans la mesure où l'application des art. 310 ss CC suppose une pesée d'intérêts de la part de l'autorité cantonale ( ATF 148 I 251 consid. 3.4.5), le Tribunal fédéral fait preuve de retenue en revoyant la décision de celle-ci. Il n'intervient que si elle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(ATF 151III 190 consid. 5.2; 149 III 193 consid. 5.3 et les références). Il incombe à la partie recourante de démontrer en quoi la cour cantonale aurait abusé de son pouvoir d'appréciation en examinant le bien de l'enfant (arrêt 5A_300/2025 du 3 juillet 2025 consid. 6.2.3; cf. ég. ATF 146 III 313 consid. 6.2.2).</w:t>
      </w:r>
    </w:p>
    <w:p>
      <w:r>
        <w:rPr>
          <w:b/>
        </w:rPr>
        <w:t>E. 4.1.2</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Il n'est pas tenu de discuter tous les arguments soulevés par les parties, mais peut se limiter à l'examen des questions décisives pour l'issue du litige ( ATF 150 III 1 consid. 4.5; 147 IV 249 consid. 2.4).</w:t>
      </w:r>
    </w:p>
    <w:p>
      <w:r>
        <w:rPr>
          <w:b/>
        </w:rPr>
        <w:t>E. 4.2</w:t>
      </w:r>
    </w:p>
    <w:p>
      <w:r>
        <w:t>La cour cantonale a confirmé le placement des enfants ordonné par le premier juge.</w:t>
      </w:r>
    </w:p>
    <w:p>
      <w:r>
        <w:t>Elle a d'abord relevé les compétences parentales lacunaires de la recourante, constatées par l'expertise mise en oeuvre par le tribunal ainsi que par les différents rapports établis par le SEASP et le SPMi depuis 2013, soulignant que même les besoins primaires des enfants n'avaient pu être couverts par leur mère, en dépit des différentes mesures de protection instaurées (assistance éducative en milieu ouvert, encadrement à domicile). Les juges cantonaux ont ensuite relevé que, si le SPMi avait certes établi des rapports positifs en mars et juin 2022 - alors que les mineures étaient placées chez la recourante -, les circonstances s'étaient modifiées depuis lors et n'étaient ainsi pas de nature à remettre en cause les constatations ressortant de l'expertise. Contrairement à ce que soutenait la recourante, les déficiences parentales que retenait celle-là à son endroit (à savoir: incapacité de répondre aux besoins primaires des enfants [hygiène, sécurité physique, suivis médicaux], malgré un encadrement professionnel; présence affective réduite en raison d'une focalisation sur ses propres besoins, avec pour conséquence un défaut d'attention et de sécurité affective et psychique de qualité auprès des enfants; incapacité de parler de celles-ci de manière individuelle et de voir leur souffrance) résultaient des observations effectuées dans le contexte de l'évaluation et non d'une éventuelle impression négative de l'experte à l'égard de l'intéressée; les critiques que celle-ci formulait à l'encontre de l'expertise étaient ainsi infondées. La cour cantonale a par ailleurs précisé que le souhait qu'exprimaient les enfants de vivre auprès de leur mère n'était pas décisif au regard de ses compétences parentales lacunaires. Celles-ci représentaient un danger pour le développement des mineures, dont l'experte constatait qu'elles étaient atteintes dans leur santé psychique (troubles émotionnels de l'enfance et angoisses de séparation), se trouvaient dans un important conflit de loyauté les empêchant de se développer sereinement, étant précisé que l'aînée présentait de surcroît un retard de développement en raison d'un manque de stimulations lors de la petite enfance. L'autorité cantonale en a conclu que, dans ces circonstances, le placement des quatre enfants apparaissait une mesure adéquate et proportionnée pour préserver leur bon développement, les différents suivis et mesures pris précédemment s'étant révélés insuffisants à pallier les carences parentales et à assurer une prise en charge quotidienne des enfants auprès de la recourante.</w:t>
      </w:r>
    </w:p>
    <w:p>
      <w:r>
        <w:rPr>
          <w:b/>
        </w:rPr>
        <w:t>E. 4.3.1</w:t>
      </w:r>
    </w:p>
    <w:p>
      <w:r>
        <w:t>La recourante invoque d'abord la violation de son droit d'être entendue, reprochant en substance à l'autorité cantonale d'avoir insuffisamment motivé sa décision. L'on comprend toutefois de son argumentation que la recourante confond à l'évidence ce grief avec le désaccord suscité par la motivation cantonale, lequel relève du fond ( ATF 145 III 324 consid. 6.1; arrêt 5A_357/2024 du 26 août 2025 consid. 3.3.2 et les références). L'essentiel des critiques que développe l'intéressée consiste en effet à opposer à l'autorité cantonale de ne pas avoir pris en considération ses arguments, dont elle estime qu'ils commandaient pourtant la levée du placement des enfants en foyer. Dans cette mesure, ses critiques seront examinées sous l'angle de la violation de l' art. 310 al. 1 CC , dont elle se prévaut également.</w:t>
      </w:r>
    </w:p>
    <w:p>
      <w:r>
        <w:rPr>
          <w:b/>
        </w:rPr>
        <w:t>E. 4.3.2</w:t>
      </w:r>
    </w:p>
    <w:p>
      <w:r>
        <w:t>Sous ce dernier grief, l'argumentation que présente la recourante consiste principalement à invoquer différentes circonstances qui permettraient à son sens d'affirmer qu'un placement des enfants auprès d'elle ne les mettrait aucunement en danger, pour en déduire ensuite qu'en confirmant le placement des mineures en foyer, la cour cantonale aurait violé l' art. 310 al. 1 CC . Le premier pan de cette argumentation, développé sous l'angle de la violation du droit d'être entendu (cf.</w:t>
      </w:r>
    </w:p>
    <w:p>
      <w:r>
        <w:t>supra consid. 4.3.1), relève en réalité de l'appréciation arbitraire des preuves. Or non seulement l'intéressée ne l'invoque aucunement (cf.</w:t>
      </w:r>
    </w:p>
    <w:p>
      <w:r>
        <w:t>supra consid. 2.2), mais les critiques soulevées dans ce contexte se révèlent purement appellatoires, la recourante se limitant à cet égard à nier les éléments retenus par la cour cantonale pour fonder le placement ou à y opposer sa propre appréciation. Il en est ainsi lorsqu'elle affirme son absence de condamnation pour des actes de violence à l'encontre de ses enfants; le défaut d'exposition de ses filles à la violence conjugale en raison de la séparation parentale; sa capacité de prendre soin des mineures lorsque celles-ci étaient placées auprès d'elle; sa collaboration avec les différents intervenants; la prévention de l'experte à son encontre et le défaut de pertinence de ses constatations ou leur prétendue contradiction avec les déclarations de la pédiatre de ses filles ou de leur curateur; la volonté des enfants de revenir vivre auprès d'elle; les efforts fournis pour se conformer aux exigences requises ou encore la suffisance d'une mesure de curatelle éducative, qu'elle serait disposée à accepter.</w:t>
      </w:r>
    </w:p>
    <w:p>
      <w:r>
        <w:t>Il s'ensuit le rejet du second pan d'argumentation de la recourante, à savoir la violation du droit et singulièrement de l' art. 310 al. 1 CC , en tant que l'intéressée fonde ses critiques sur sa propre appréciation des preuves, motivation dont l'irrecevabilité vient d'être constatée.</w:t>
      </w:r>
    </w:p>
    <w:p>
      <w:r>
        <w:rPr>
          <w:b/>
        </w:rPr>
        <w:t>E. 5</w:t>
      </w:r>
    </w:p>
    <w:p>
      <w:r>
        <w:t>La recourante conteste ensuite l'étendue du droit de visite arrêté par la cour cantonale. Elle invoque la violation des art. 273 s. CC ainsi que celle de son droit d'être entendue ( art. 29 al. 2 Cst. ).</w:t>
      </w:r>
    </w:p>
    <w:p>
      <w:r>
        <w:rPr>
          <w:b/>
        </w:rPr>
        <w:t>E. 5.1.1</w:t>
      </w:r>
    </w:p>
    <w:p>
      <w:r>
        <w:t>Les parents privés du droit de déterminer le lieu de résidence de l'enfant ont le droit réciproque d'entretenir des relations personnelles ( art. 273 al. 1 CC ) adaptées aux circonstances, des limitations pouvant néanmoins être ordonnées si le bien de l'enfant le requiert ( art. 274 al. 2 CC ). Comme le retrait ou le refus du droit aux relations personnelles selon l' art. 274 CC , l'établissement d'un droit de visite surveillé nécessite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 ATF 122 III 404 consid. 3c; arrêt 5A_275/2024 du 24 septembre 2024 consid. 5 et les références).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faut toutefois réserver les cas où il apparaît d'emblée que les visites ne pourront pas, dans un proche avenir, être effectuées sans accompagnement (arrêts 5A_275/2024 précité</w:t>
      </w:r>
    </w:p>
    <w:p>
      <w:r>
        <w:t>loc. cit. ; 5A_759/2023 du 20 mars 2024 consid. 4.1.2.1 et les références).</w:t>
      </w:r>
    </w:p>
    <w:p>
      <w:r>
        <w:t>La volonté de l'enfant doit aussi être prise en considération pour la fixation du droit aux relations personnelles (arrêts 5A_878/2024 du 1er avril 2025 consid. 3.1; 5A_699/2021 du 21 décembre 2021 consid. 6.1 et les références). La réglementation de ce droit ne saurait toutefois en dépendre de manière exclusive (arrêt 5A_878/2024 précité</w:t>
      </w:r>
    </w:p>
    <w:p>
      <w:r>
        <w:t>loc. cit. ).</w:t>
      </w:r>
    </w:p>
    <w:p>
      <w:r>
        <w:rPr>
          <w:b/>
        </w:rPr>
        <w:t>E. 5.1.2</w:t>
      </w:r>
    </w:p>
    <w:p>
      <w:r>
        <w:t>L'appréciation des circonstances de fait pour fixer le droit aux relations personnelles, c'est-à-dire la détermination de leur portée juridique, est une question de droit soumise à l'appréciation du juge ( art. 4 CC ; ATF 147 III 209 consid. 5.3; 142 III 336 consid. 5.3.2).</w:t>
      </w:r>
    </w:p>
    <w:p>
      <w:r>
        <w:rPr>
          <w:b/>
        </w:rPr>
        <w:t>E. 5.2</w:t>
      </w:r>
    </w:p>
    <w:p>
      <w:r>
        <w:t>La cour cantonale a partiellement admis l'appel de la recourante sur la question de l'étendue de son droit de visite, élargissant celui-ci à raison d'1h30 hebdomadaire pour chaque parent, dans un milieu médiatisé. Rappelant que l'experte avait certes préconisé des relations personnelles plus larges avec chaque parent (mercredi, week-ends et moitié des vacances scolaires), l'autorité cantonale a néanmoins souligné que les circonstances s'étaient détériorées en été 2024 et que le droit de visite avait dès lors été suspendu, puis restreint en milieu médiatisé. Dans son rapport du 2 décembre 2024, le SPMi relevait que les rencontres entre les parents et les enfants se déroulaient bien et recommandait d'augmenter la durée des visites hebdomadaires à 1h30 pour chacun des parents. La cour cantonale s'est ainsi fondée sur ce rapport pour statuer en ce sens, jugeant toutefois qu'une extension au week-end et à la journée du mercredi chez leur mère apparaissait prématurée en l'état, que la surveillance du droit de visite restait adéquate dans un premier temps, sans toutefois que la présence d'un traducteur soit en revanche nécessaire.</w:t>
      </w:r>
    </w:p>
    <w:p>
      <w:r>
        <w:rPr>
          <w:b/>
        </w:rPr>
        <w:t>E. 5.2.1</w:t>
      </w:r>
    </w:p>
    <w:p>
      <w:r>
        <w:t>L'argumentation de la recourante reprend le procédé dont elle a fait usage dans le contexte de la violation de l' art. 310 al. 1 CC (cf.</w:t>
      </w:r>
    </w:p>
    <w:p>
      <w:r>
        <w:t>supra consid. 4.3). Elle se prévaut ainsi d'abord de la violation de son droit d'être entendue, violation qui s'apparente en réalité à un grief d'arbitraire dans l'appréciation des preuves, puis se plaint de la violation des art. 273 et 274 CC en s'appuyant sur ses développements précédents.</w:t>
      </w:r>
    </w:p>
    <w:p>
      <w:r>
        <w:t>Les constatations que l'on peut retirer de la motivation présentée par la recourante sont identiques à celles qui ont été relevées sous le traitement du grief de la violation de l' art. 310 al. 1 CC (cf.</w:t>
      </w:r>
    </w:p>
    <w:p>
      <w:r>
        <w:t>supra consid. 4.3). Le grief de la violation du droit d'être entendu n'est ainsi aucunement pertinent. À supposer toutefois que l'on examine les critiques soulevées sous l'angle de l'arbitraire dans l'appréciation des preuves, force est d'admettre le caractère essentiellement appellatoire de l'argumentation développée par la recourante. Celle-ci se limite en effet à justifier les circonstances ayant entraîné la restriction des relations personnelles entre les parties et leurs enfants, puis affirme sa bonne volonté de collaborer avec les intervenants du foyer, élément précisément retenu par les autorités cantonales pour restreindre l'étendue des visites.</w:t>
      </w:r>
    </w:p>
    <w:p>
      <w:r>
        <w:t>Certes, la cour cantonale ne s'est pas attardée sur la volonté des enfants de voir plus largement leur mère; elle a toutefois relativisé cette volonté dans le contexte de la confirmation de la mesure de placement (cf.</w:t>
      </w:r>
    </w:p>
    <w:p>
      <w:r>
        <w:t>supra consid. 4.2); il est au demeurant rappelé que, si ce point doit effectivement être pris en considération, il n'en demeure pas moins qu'il n'est pas déterminant à lui seul (cf.</w:t>
      </w:r>
    </w:p>
    <w:p>
      <w:r>
        <w:t>supra consid. 5.1.1). Vu les autres éléments retenus par la cour cantonale, que la recourante attaque inefficacement, l'on ne saurait ainsi reprocher à dite autorité de n'avoir pas pris en compte la volonté exprimée par les mineures pour refuser d'élargir les relations personnelles entre la recourante et ses filles. Aucune violation du droit n'est ainsi à déplorer.</w:t>
      </w:r>
    </w:p>
    <w:p>
      <w:r>
        <w:rPr>
          <w:b/>
        </w:rPr>
        <w:t>E. 5.2.2</w:t>
      </w:r>
    </w:p>
    <w:p>
      <w:r>
        <w:t>L'on précisera encore que, sous l'angle de la violation du droit, la recourante se réfère au bien de l'enfant et singulièrement aux art. 3 de la Convention relative aux droits de l'enfant (CDE; RS 0.107) et 11 al. 1 Cst. Outre qu'elle ne démontre pas en quoi la portée de ces dispositions irait au-delà des garanties posées par les art. 273 s. CC, il convient de souligner que la première des deux dispositions précitées n'est pas directement applicable ( ATF 144 II 56 consid. 5.2) tandis que la violation de la seconde n'est pas motivée conformément aux exigences de l' art. 106 al. 2 LTF .</w:t>
      </w:r>
    </w:p>
    <w:p>
      <w:r>
        <w:rPr>
          <w:b/>
        </w:rPr>
        <w:t>E. 6</w:t>
      </w:r>
    </w:p>
    <w:p>
      <w:r>
        <w:t>En définitive, le recours doit être rejeté dans la faible mesure de sa recevabilité. En tant que les conclusions de la recourante étaient manifestement vouées à l'échec, sa requête d'assistance judiciaire doit être rejetée ( art. 64 al. 1 LTF ) et les frais judiciaires mis à sa charge ( art. 66 al. 1 LTF ). Aucune indemnité de dépens n'est allouée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