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5A_568/2021 vom 25. März 2022</w:t>
      </w:r>
    </w:p>
    <w:p>
      <w:r>
        <w:t>Bundesgericht, 2022-03-25, DE</w:t>
      </w:r>
    </w:p>
    <w:p>
      <w:r>
        <w:rPr>
          <w:b/>
        </w:rPr>
        <w:t xml:space="preserve">Quelle: </w:t>
      </w:r>
      <w:r>
        <w:t>https://mcp.opencaselaw.ch/entscheid/bger_5A_568_2021</w:t>
      </w:r>
    </w:p>
    <w:p>
      <w:r>
        <w:t>FR: TF 5A_568/2021 du 25 mars 2022</w:t>
      </w:r>
    </w:p>
    <w:p>
      <w:r>
        <w:t>IT: TF 5A_568/2021 del 25 marzo 2022</w:t>
      </w:r>
    </w:p>
    <w:p>
      <w:pPr>
        <w:pStyle w:val="Heading2"/>
      </w:pPr>
      <w:r>
        <w:t>Erwägungen</w:t>
      </w:r>
    </w:p>
    <w:p>
      <w:r>
        <w:rPr>
          <w:b/>
        </w:rPr>
        <w:t>E. 1.1</w:t>
      </w:r>
    </w:p>
    <w:p>
      <w:r>
        <w:t>Angefochten ist ein Teilentscheid (Art. 91 Bst. a BGG; BGE 134 III 426 E. 1.2; Urteile 5A_996/2019 vom 20. April 2019 E. 1.2; 5A_213/2019 vom 25. September 2019 E. 1.4; allgemein BGE 146 III 254 E. 2.1.1) eines oberen kantonalen Gerichts, das auf Rechtsmittel hin ( Art. 75 BGG ) über die vermögensrechtlichen Nebenfolgen einer Ehescheidung (nachehelicher Unterhalt) und damit eine vermögensrechtliche Zivilsache nach Art. 72 Abs. 1 BGG entschieden hat (Urteil 5A_496/2019 vom 2. Juni 2021 E. 1.1). Der erforderliche Streitwert von Fr. 30'000.-- ist erreicht (Art. 74 Abs. 1 Bst. b, Art. 51 Abs. 1 Bst. a und Abs. 4 BGG). Die Beschwerde in Zivilsachen ist damit das zutreffende Rechtsmittel. Der Beschwerdeführer ist gemäss Art. 76 Abs. 1 BGG zur Beschwerde berechtigt, die er auch fristgerecht ( Art. 100 Abs. 1 BGG ; betreffend die Berichtigung vom 14. Juli 2021 vgl. Urteil 5A_943/2015 vom 10. März 2016 E. 1.1) erhoben hat. Auf die Beschwerde ist einzutreten.</w:t>
      </w:r>
    </w:p>
    <w:p>
      <w:r>
        <w:rPr>
          <w:b/>
        </w:rPr>
        <w:t>E. 1.2</w:t>
      </w:r>
    </w:p>
    <w:p>
      <w:r>
        <w:t>Die Beschwerdegegnerin hat selbst nicht Beschwerde erhoben, da sie mit dem angefochtenen Entscheid im Ergebnis einverstanden war. Für den Fall, dass die Beschwerde (teilweise) gutgeheissen wird, wirft sie indes ihrerseits dem Obergericht "verteidigungsweise" verschiedentlich die unvollständige Feststellung des Sachverhalts und Rechtsverletzungen vor. Auch beantragt sie für den Fall der Rückweisung der Angelegenheit an die Vorinstanz, dass bei der Neuberechnung des Unterhalts bestimmte Punkte berücksichtigt werden (vgl. vorne Bst. C). Hierzu ist klarzustellen, was folgt:</w:t>
      </w:r>
    </w:p>
    <w:p>
      <w:r>
        <w:t>Der Beschwerdegegnerin ist es unbenommen, alle zulässigen Beschwerdegründe in ihrer Antwort auf die Beschwerde geltend zu machen, um allfällige Fehler der kantonalen Entscheidung zu rügen, die ihr im Falle einer abweichenden Beurteilung der Sache durch das Bundesgericht nachteilig sein könnten ( BGE 140 III 456 E. 2.2.2; 134 III 332 E. 2.3). Indes hat sie selbst keine Beschwerde erhoben und ist vor Bundesgericht eine Anschlussbeschwerde nicht zulässig ( BGE 134 III 332 E. 2.5). Mit ihren Vorbringen kann die Beschwerdegegnerin daher nicht bewirken, dass die kantonale Entscheidung zu ihren Gunsten geändert wird ( BGE 142 IV 129 E. 4.1), sondern im für sie besten Fall einzig erreichen, dass es beim Ergebnis der kantonalen Entscheidung bleibt. Damit wird auch dem Verschlechterungsverbot Nachachtung verschafft, wonach das Bundesgericht den angefochtenen Entscheid nicht zu Ungunsten derjenigen Partei abändern darf, die Beschwerde erhoben hat (vgl. Art. 107 Abs. 1 BGG ; BGE 129 III 417 E. 2.1.1; zum Ganzen vgl. Urteile 5A_75/2018 vom 18. Dezember 2018 E. 3.2; 5A_894/2017 vom 20. August 2018 E. 4.2). Im Falle der Rückweisung der Angelegenheit ist die Vorinstanz sodann an die rechtliche Beurteilung durch das Bundesgericht gebunden ( BGE 143 IV 214 E. 5.3.3; 135 III 334 E. 2), weshalb die Vorbringen der Beschwerdegegnerin auch diesfalls keine über das Ausgeführte hinausgehende Wirkung zu entfalten vermögen. Ihre Anträge und Vorbringen erweisen sich in diesem Umfang als zulässig.</w:t>
      </w:r>
    </w:p>
    <w:p>
      <w:r>
        <w:rPr>
          <w:b/>
        </w:rPr>
        <w:t>E. 1.3</w:t>
      </w:r>
    </w:p>
    <w:p>
      <w:r>
        <w:t>Die Beschwerdegegnerin wirft dem Beschwerdeführer verschiedentlich vor, in der Replik unzulässige Beschwerdeergänzungen vorzunehmen, und beantragt, auf diese sei nicht einzutreten.</w:t>
      </w:r>
    </w:p>
    <w:p>
      <w:r>
        <w:t>Die Begründung muss in der Beschwerde selbst enthalten sein, die innert der gesetzlichen und nicht erstreckbaren Beschwerdefrist einzureichen ist. Die aufgrund von Art. 6 Ziff. 1 EMRK und Art. 29 Abs. 2 BV bestehende Möglichkeit, nach Eingang der Vernehmlassungen der Gegenpartei eine Replik einzureichen, kann nur dazu dienen, sich zu den von der Gegenpartei eingereichten Stellungnahmen zu äussern. Ausgeschlossen sind hingegen in diesem Rahmen Anträge und Rügen, welche die beschwerdeführende Partei bereits vor Ablauf der Beschwerdefrist hätte erheben können ( BGE 143 II 283 E. 1.2.3 ; 135 I 19 E. 2.2). Die von der Beschwerdegegnerin beanstandeten Ausführungen stehen im Zusammenhang mit ihrer (hypothetischen) Arbeitstätigkeit um die Zeit der Geburt und nach der Geburt der gemeinsamen Tochter. Dies war zentrales Thema des angefochtenen Urteils und der gegen dieses erhobenen Beschwerde. Der Beschwerdeführer gibt in seiner Stellungnahme sodann jeweils an, auf welche Vorbringen der Beschwerdegegnerin er repliziert. Unter diesen Umständen sind die fraglichen Ausführungen zulässig und nachfolgend soweit nötig zu berücksichtigen.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3.1</w:t>
      </w:r>
    </w:p>
    <w:p>
      <w:r>
        <w:t>Umstritten ist der Umfang der Unterhaltspflicht des Beschwerdeführers und damit zusammenhängend, ob eine lebensprägende Ehe gegeben ist.</w:t>
      </w:r>
    </w:p>
    <w:p>
      <w:r>
        <w:t>Das Obergericht stufte die Ehe der Parteien, die rund drei Jahre gelebt worden ist, als Kurzehe ein. Die Beschwerdegegnerin sei 43 Jahre alt gewesen und habe seit langem eine erfolgreiche Erwerbstätigkeit ausgeübt, als die Tochter geboren wurde. Diese Tätigkeit habe mit unbekanntem Umfang über die Geburt des Kindes hinaus angedauert. Letztere könne deshalb nicht als allein ausschlaggebendes, vertrauensbildendes Kriterium gewertet werden. Jedoch habe die Beschwerdegegnerin sich mit ihrem Beratungsunternehmen nach der Heirat mehr und mehr in eine wirtschaftliche Abhängigkeit zur Unternehmensgruppe des Beschwerdeführers begeben, was Vertrauen in den Fortbestand der Ehe begründet habe. Tatsächlich habe sich die wirtschaftliche Abhängigkeit akzentuiert, als der Beschwerdeführer bei der Trennung sämtliche Mandate der Beschwerdegegnerin gekündigt habe. Dieser sei als alleinerziehende Mutter der Wiederaufbau ihres Unternehmens nicht mehr möglich gewesen, woran auch das Angebot einer grosszügigen Abfindung durch den Beschwerdeführer nichts ändere. Insgesamt liege damit eine lebensprägende Ehe vor und sei für die Unterhaltsberechnung an den ehelichen Lebensstandard anzuknüpfen.</w:t>
      </w:r>
    </w:p>
    <w:p>
      <w:r>
        <w:rPr>
          <w:b/>
        </w:rPr>
        <w:t>E. 3.2</w:t>
      </w:r>
    </w:p>
    <w:p>
      <w:r>
        <w:t>Die Parteien verweisen zusammengefasst auf Folgendes:</w:t>
      </w:r>
    </w:p>
    <w:p>
      <w:r>
        <w:rPr>
          <w:b/>
        </w:rPr>
        <w:t>E. 3.2.1</w:t>
      </w:r>
    </w:p>
    <w:p>
      <w:r>
        <w:t>Der Beschwerdeführer erachtet Art. 125 Abs. 1 und 2 ZGB als verletzt. Eine Ehe könne trotz grossen gerichtlichen Ermessens nur noch in wenigen Spezialfällen als lebensprägend qualifiziert werden, namentlich bei während längerer Zeit gelebter sog. klassischer Hausgattenehe. Hier sei kein solcher Fall gegeben: Die Beschwerdegegnerin habe ihre Geschäftstätigkeit nach der Geburt der Tochter trotz Mutterschaftsurlaubs fortgeführt und erst angesichts des Eheschutzverfahrens eingestellt. Weder habe sie ihre ökonomische Selbständigkeit aufgegeben oder sich auf die Rolle als Hausfrau beschränkt, noch sei von den Ehegatten eine klassische Rollenteilung geplant worden. Korrekt habe das Obergericht angenommen, dass die Geburt der Tochter keine Lebensprägung begründe. Falsch sei aber die Annahme, eine solche ergebe sich aus einer wirtschaftlichen Abhängigkeit der Ehefrau. Diese habe ihren Beruf zu keinem Zeitpunkt aufgegeben und es wäre ihr gemäss eigenen Angaben nach der Trennung möglich gewesen, ihr Unternehmen innert zweier Jahre wieder aufzubauen. Spätestens mit dem Kindergarten- bzw. dem Schuleintritt der Tochter habe die Beschwerdegegnerin sich wieder um ihr Unternehmen kümmern können. Daher sei die Kündigung der Mandate durch den Beschwerdeführer nicht irreversibel gewesen. Ohnehin dürften die Ebene der Unternehmen nicht mit der persönlichen Ebene der Ehegatten vermengt werden. Als gut ausgebildete Ökonomin hätte die Beschwerdegegnerin ausserdem eine andere gut bezahlte Stelle finden können. Aufgrund eines temporären Auszugs des Beschwerdeführers aus dem gemeinsamen Haushalt im Jahr 2011 habe sie sodann bereits früh Anlass zu Zweifeln an der Nachhaltigkeit der Ehe gehabt.</w:t>
      </w:r>
    </w:p>
    <w:p>
      <w:r>
        <w:rPr>
          <w:b/>
        </w:rPr>
        <w:t>E. 3.2.2</w:t>
      </w:r>
    </w:p>
    <w:p>
      <w:r>
        <w:t>Die Beschwerdegegnerin sieht sich durch eine qualifiziert falsche Feststellung des Sachverhalts im angefochtenen Teilurteil in verschiedenen (verfassungsmässigen) Rechten verletzt. Anders als dies das Obergericht annehme, sei sie nach der Geburt der Tochter nur noch sehr beschränkt einer Erwerbstätigkeit nachgegangen und habe sich ohne fremde Hilfe um das Kind gekümmert. Diese Rollenverteilung sei zwar nur kurz gelebt worden, habe aber auf einem gemeinsamen Lebensplan der Ehegatten beruht. Zudem hätten die Parteien sich vorehelich ein Eigenheim gekauft. Dadurch sei die Beschwerdegegnerin darin bestärkt worden, sich nach der Heirat in die (wirtschaftliche) Abhängigkeit der Unternehmensgruppe des Beschwerdeführers zu begeben. Dies sei daher, ebenso wie das voreheliche Konkubinat, als lebensprägendes Element zu berücksichtigen. Zufolge der Geburt der Tochter und der Auflösung sämtlicher geschäftlicher Beziehungen durch den Ehemann (und nicht unter dem Eindruck des Eheschutzverfahrens) habe die Beschwerdegegnerin spätestens im Dezember 2012 keine Arbeitstätigkeit mehr ausgeübt. Mit Blick auf die damals geltende 10/16-Regel habe für die Mutter eines Kleinkindes auch keine Verpflichtung zur Aufnahme einer Arbeitstätigkeit bestanden, zumal eine solche erst mit Urteil vom 9. April 2020 verlangt worden sei. Die Beschwerdegegnerin habe sich daher auch nicht um eine Erwerbstätigkeit bemüht. Mit Blick auf die bestehenden Betreuungspflichten, die lange Abwesenheit vom Arbeitsmarkt sowie die fehlende Infrastruktur sei der Beschwerdegegnerin mit zumutbarem Aufwand weder ein Wiederaufbau ihres Unternehmens noch die Annahme einer anderen Anstellung möglich gewesen.</w:t>
      </w:r>
    </w:p>
    <w:p>
      <w:r>
        <w:t>Zur Lebensprägung der Ehe ergänzt die Beschwerdegegnerin, dass die Parteien sich im fortgeschrittenen Alter und damit nicht leichtfertig und in Kenntnis der Konsequenzen für ein Kind entschieden hätten. Durch die Betreuung des Kindes habe die Mutter sich mit einem nichtpekuniären Beitrag in die Ehe eingebracht. Die wirtschaftliche Abhängigkeit der Ehefrau vom Ehemann sei denn auch von beiden Parteien verursacht. Die Kinderbetreuungspflichten und die entsprechende Einschränkung in den Erwerbsmöglichkeiten bestünden sodann weit über die Scheidung hinaus. Dies alles begründe einen besonderen Vertrauensschutz und lasse die Ehe als lebensprägend erscheinen. Auch sei ein "Durchgriff" im Familienrecht insbesondere im Unterhaltsrecht bei Eheleuten mit beherrschenden Stellungen in einem Unternehmen anerkannt und geläufig. Anders als der Beschwerdeführer meine, sei über die Lebensprägung in einer Einzelfallprüfung aufgrund der konkreten Umstände zu entscheiden. Dabei könnten die bisher für oder gegen die Lebensprägung sprechenden Vermutungen als Kriterien beigezogen werden. Die Vorinstanz habe sich hieran gehalten und das ihr zukommende grosse Ermessen nicht verletzt.</w:t>
      </w:r>
    </w:p>
    <w:p>
      <w:r>
        <w:rPr>
          <w:b/>
        </w:rPr>
        <w:t>E. 4.1</w:t>
      </w:r>
    </w:p>
    <w:p>
      <w:r>
        <w:t>Ist es einem Ehegatten nicht zuzumuten, dass er für den ihm gebührenden Unterhalt unter Einschluss einer angemessenen Altersvorsorge selbst aufkommt, so hat ihm der andere Ehegatte nach Art. 125 Abs. 1 ZGB einen angemessenen Beitrag zu leisten. Für den Entscheid, ob ein Beitrag zu leisten ist und gegebenenfalls in welcher Höhe und Dauer sind die in Art. 125 Abs. 2 ZGB genannten Kriterien entscheidend ( BGE 147 III 293 E. 4.4; 138 III 289 E. 11.1.2). Bei der Unterhaltsfestsetzung kommt dem Sachgericht weites Ermessen zu ( BGE 134 III 577 E. 4; Urteil 5A_78/2020 vom 5. Februar 2021 E. 4.1).</w:t>
      </w:r>
    </w:p>
    <w:p>
      <w:r>
        <w:t>Für die Festlegung des gebührenden Unterhalts nimmt die Rechtsprechung zum Ausgangspunkt, ob die Ehe lebensprägend war oder nicht. Bei lebensprägenden Ehen ist das Vertrauen in den Fortbestand der Ehe bzw. in den Weiterbestand der bisherigen, frei vereinbarten Aufgabenteilung objektiv schutzwürdig und Art. 125 Abs. 1 ZGB gibt deshalb bei genügenden Mitteln und unter Vorbehalt der Eigenversorgungskapazität Anspruch auf Fortführung des zuletzt gelebten gemeinsamen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 BGE 147 III 249 E. 3.4.1 mit zahlreichen Hinweisen; jüngst etwa Urteile 5A_93/2019 vom 13. September 2021 E. 3.1; 5A_907/2019 vom 27. August 2021 E. 3.1.1).</w:t>
      </w:r>
    </w:p>
    <w:p>
      <w:r>
        <w:rPr>
          <w:b/>
        </w:rPr>
        <w:t>E. 4.2</w:t>
      </w:r>
    </w:p>
    <w:p>
      <w:r>
        <w:t>Wie das Bundesgericht betont, kommt dem Umstand, ob eine lebensprägende oder eine nicht lebensprägende Ehe vorliegt, indes nicht die Funktion eines "Kippschalters" zu. Die bisher für das Vorliegen von Lebensprägung sprechenden Vermutungen (namentlich auch das Vorhandensein gemeinsamer Kinder der Ehegatten; dazu statt vieler: BGE 141 III 465 E. 3.1; 137 III 102 E. 4.1.2; 135 III 59 E. 4.1) sind zu relativieren und haben keine absolute Geltung. Der nacheheliche Unterhalt ist vielmehr am ergebnisoffenen Katalog der Kriterien von Art. 125 Abs. 2 ZGB auszurichten ( BGE 147 III 249 E. 3.4.2).</w:t>
      </w:r>
    </w:p>
    <w:p>
      <w:r>
        <w:t>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 BGE 147 III 308 E. 5.2-5.6, S. 249 E. 3.4.3).</w:t>
      </w:r>
    </w:p>
    <w:p>
      <w:r>
        <w:rPr>
          <w:b/>
        </w:rPr>
        <w:t>E. 4.3</w:t>
      </w:r>
    </w:p>
    <w:p>
      <w:r>
        <w:t>Wie es sich vorliegend mit der Lebensprägung der Ehe verhält, ist nachfolgend zu prüfen:</w:t>
      </w:r>
    </w:p>
    <w:p>
      <w:r>
        <w:rPr>
          <w:b/>
        </w:rPr>
        <w:t>E. 4.3.1</w:t>
      </w:r>
    </w:p>
    <w:p>
      <w:r>
        <w:t>Wurde während der Ehe wie hier ein gemeinsames Kind geboren, wurde Lebensprägung bisher regelmässig bejaht (statt vieler: BGE 141 III 465 E. 3.1; 137 III 102 E. 4.1.2). Ausnahmen blieben jedoch möglich (vgl. etwa Urteil 5A_177/2010 vom 8. Juni 2010 E. 6.5, in: FamPra.ch 2010 S. 914). Die Beschwerdegegnerin beruft sich wesentlich auf ihre nachehelichen Betreuungspflichten, welche die Ehe als lebensprägend erscheinen liessen (vgl. vorne E. 3.2.2).</w:t>
      </w:r>
    </w:p>
    <w:p>
      <w:r>
        <w:t>Seit dem Inkrafttreten der Änderung des Zivilgesetzbuches betreffend Kindesunterhalt vom 20. März 2015 (AS 2015 S. 4299) werden Nachteile, die einem Elternteil aus der (nachehelichen) Betreuung von Kindern erwachsen, primär durch den Betreuungsunterhalt ausgeglichen ( Art. 276 und 285 ZGB ). Vorliegend ist nicht strittig, dass der Beschwerdeführer derartigen Unterhalt in nicht unerheblichem Umfang zu leisten hat (Urteil Obergericht, Dispositivziffer 1/10 und 1/12b). Bei (vormals) verheirateten Eltern sind im Rahmen des nachehelichen Unterhalts von vornherein nur noch solche durch die Kinderbetreuung entstehende Nachteile massgebend, die nicht durch den wirtschaftlich dem betreuenden Elternteil zugedachten Betreuungsunterhalt abgedeckt sind ( BGE 144 III 481 E. 4.8.3). Dabei soll es nach dem für das neue Kindesunterhaltsrecht zentralen Gedanken der Gleichstellung ehelicher und nichtehelicher Kinder möglichst zu keinen Unterschieden in der Behandlung von in der Ehe und ausserhalb derselben geborenen Kindern kommen ( BGE 144 III 502 E. 6.7). Bereits mit Blick auf diese Zusammenhänge ist fraglich, inwieweit aus der Kinderbetreuung stammende Nachteile (allein) noch zur Begründung einer Lebensprägung geeignet sind. Zumal solche Nachteile im Rahmen des nachehelichen Unterhalts ( Art. 125 Abs. 2 Ziff. 6 ZGB ) im Einzelfall auch ohne Annahme einer lebensprägenden Ehe und Anknüpfung an den ehelichen Lebensstandard abgegolten werden können (vgl. allgemein BGE 147 III 249 E. 3.4.1), was die Beschwerdegegnerin richtig erkennt. Die sich aus der Kinderbetreuung ergebenden Nachteile lassen sich denn auch nicht in erster Linie mit einem für die Bejahung der Lebensprägung entscheidenden Fortwirken der ehelichen Gemeinschaft erklären (vgl. dazu BGE 147 III 249 E. 3.4.6). Wie das neue Kindesunterhaltsrecht verdeutlicht, stehen derartige Nachteile vielmehr in erster Linie mit fortbestehenden Kinderbetreuungspflichten im Zusammenhang, die neu aber gerade einer separaten Regelung unterliegen. Damit kann aus dem Vorhandensein gemeinsamer Kinder der Ehegatten allein nicht (mehr) auf Lebensprägung geschlossen werden (vgl. bereits BGE 147 III 249 E. 3.4.2) und ist es entsprechend nicht zu beanstanden, dass das Obergericht die Geburt der Tochter für sich genommen nicht als ausschlaggebendes, vertrauensbildendes Kriterium gewertet hat.</w:t>
      </w:r>
    </w:p>
    <w:p>
      <w:r>
        <w:rPr>
          <w:b/>
        </w:rPr>
        <w:t>E. 4.3.2</w:t>
      </w:r>
    </w:p>
    <w:p>
      <w:r>
        <w:t>Die Ehe der Parteien hat unbestritten nur wenige Jahre gedauert, wobei der gemeinsame Haushalt kurz nach der Geburt der Tochter aufgehoben worden ist (vgl. vorne Bst. A.a). Selbst wenn, wie die Beschwerdegegnerin geltend macht, die Ehegatten nach der Geburt des Kindes eine klassische Rollenteilung (zum Begriff vgl. BGE 147 III 249 E. 3.5.1) ins Auge gefasst und auch gelebt haben, dauerte diese (angebliche) Hausgattenehe weniger als ein Jahr. Zuvor haben beide Ehegatten ihre (erfolgreiche) berufliche Tätigkeit fortgesetzt. Eine derart kurze Phase der Rollenteilung vermag für sich genommen ebenfalls keinen unumkehrbaren Einfluss auf die Situation der Beschwerdegegnerin auszuüben, weshalb die Ehefrau deswegen (noch) nicht in den Fortbestand der Aufgabenteilung vertrauen durfte (vgl. E. 4.2 hiervor). Da für diese Zeit eine Aufgabenteilung noch nicht einmal behauptet ist, hilft der Beschwerdegegnerin auch die beantragte Anrechnung des vorehelichen Konkubinats - es hat unbestritten ca. zwei Jahre gedauert - nicht weiter (zur Anrechnung eines vorehelichen Zusammenlebens vgl. BGE 147 III 249 E. 3.4.1 mit Hinweisen). An dem Ausgeführten ändert schliesslich auch der von der Beschwerdegegnerin behauptete voreheliche Kauf einer gemeinsamen Wohnung nichts. Dieser ist allenfalls geeignet, den von den Eheleuten vor der Ehe gefassten Beschluss für die Aufgabenteilung nach der Geburt des Kindes aufzuzeigen. Eine Lebensprägung der Ehe ergibt sich damit auch nicht aus dem während der Ehe gelebten Rollenmodell.</w:t>
      </w:r>
    </w:p>
    <w:p>
      <w:r>
        <w:rPr>
          <w:b/>
        </w:rPr>
        <w:t>E. 4.3.3</w:t>
      </w:r>
    </w:p>
    <w:p>
      <w:r>
        <w:t>Das Obergericht und ihm folgend die Beschwerdegegnerin gingen von einer lebensprägenden Ehe aus, weil die Ehefrau sich mit ihrem Unternehmen in die wirtschaftliche Abhängigkeit des Ehemannes begeben hatte - dies ist unbestritten - und zufolge Auflösung der Geschäftsbeziehungen nach der Trennung und unter Berücksichtigung der fortbestehenden Betreuungspflichten nicht mehr an ihre frühere berufliche Stellung anknüpfen konnte. Dem angefochtenen Urteil wie auch den Schilderungen der Beschwerdegegnerin lässt sich entnehmen, dass sich die wirtschaftliche Abhängigkeit der Ehefrau vom Ehemann im Laufe der zwischen den Parteien geführten Beziehung und insbesondere nach der Heirat entwickelt hat (vgl. vorne E. 3.1 und 3.2.2). Ähnlich wie die Betreuungsaufgaben der Ehefrau ist diese wirtschaftliche Konstellation zwischen den Ehegatten indes keine direkte oder notwendige Folge der Ehe. Entsprechend können die sich aus ihr ergebenden Auswirkungen nicht als Fortwirken der ehelichen Gemeinschaft gesehen werden. Es ergibt sich vielmehr das Bild von Parteien, die sich entschlossen haben, neben der persönlichen auch enge wirtschaftliche Beziehungen einzugehen. Die Entscheidung der Ehefrau, ihre Unternehmung in Abhängigkeit zur Unternehmensgruppe des Ehemannes zu stellen, mag durch die Ehe zwar beeinflusst oder sogar bewirkt worden sein. Die Beeinträchtigung der wirtschaftlichen Selbständigkeit der Ehefrau erscheint aber nicht als ehebedingt (vgl. BGE 147 III 249 E. 3.4.6; 127 III 289 E. 2a/aa). Die Folgen dieser vorab unternehmerischen Entscheidung bleiben für die hier interessierende Frage der Lebensprägung damit ausser Betracht.</w:t>
      </w:r>
    </w:p>
    <w:p>
      <w:r>
        <w:rPr>
          <w:b/>
        </w:rPr>
        <w:t>E. 4.4</w:t>
      </w:r>
    </w:p>
    <w:p>
      <w:r>
        <w:t>Zusammenfassend ist zwar anzuerkennen, dass die wirtschaftliche Wiedereingliederung der Ehefrau durch die verbleibenden Betreuungspflichten erschwert werden kann. Dieser Umstand vermag hier die Lebensprägung aber nicht zu begründen (E. 4.3.1 hiervor). Ohne entscheidenden Einfluss bleiben eine allfällig während der Ehe für kurze Zeit gelebte Rollenteilung (E. 4.3.2 hiervor) und die berufliche Abhängigkeit der Ehefrau vom Ehemann (E. 4.3.3 hiervor). Mit dem Beschwerdeführer ist ausserdem anzumerken, dass die Beschwerdegegnerin sich gemäss eigenen Angaben nach der Trennung mit Blick auf die Rechtslage dafür entschied, einen beruflichen Wiedereinstieg nicht einmal zu versuchen und sich ganz der Kinderbetreuung zu widmen (vorne E. 3.2.2). Damit ist das nacheheliche Absehen von jeglicher Erwerbstätigkeit unabhängig der sich aus den verbleibenden Kinderbetreuungspflichten ergebenden Implikationen zu einem wesentlichen Teil auf ihre freie Lebensentscheidung zurückzuführen.</w:t>
      </w:r>
    </w:p>
    <w:p>
      <w:r>
        <w:t>Unter diesen Umständen hat die Vorinstanz trotz des ihr insoweit zukommenden Ermessens zu Unrecht auf das Vorliegen einer lebensprägenden Ehe geschlossen und den Unterhalt entsprechend festgesetzt. Der Vorwurf der Verletzung von Art. 125 ZGB und die Beschwerde erweisen sich als begründet. Auf die weiteren im Zusammenhang mit der von der Vorinstanz angenommenen Lebensprägung sowie der Berechnung des Unterhalts erhobenen Vorbringen des Beschwerdeführers braucht nicht mehr eingegangen zu werden.</w:t>
      </w:r>
    </w:p>
    <w:p>
      <w:r>
        <w:rPr>
          <w:b/>
        </w:rPr>
        <w:t>E. 5.1</w:t>
      </w:r>
    </w:p>
    <w:p>
      <w:r>
        <w:t>Bei der Auflösung einer nicht lebensprägenden Ehe wird mit Blick auf einen allfälligen Anspruch auf nachehelichen Unterhalt prinzipiell an den vorehelichen Verhältnissen angeknüpft, das heisst die Ehegatten sind so zu stellen, wie wenn die Ehe nie geschlossen worden wäre ( BGE 141 III 465 E. 3.1; 135 III 59 E. 4.1). Damit besteht unter Umständen ein aus dem Gedanken der nachehelichen Solidarität fliessender Anspruch auf Ersatz einer Art negativen Interesses ("Heiratsschaden"; BGE 147 III 249 E. 3.4.1 und 3.4.6).</w:t>
      </w:r>
    </w:p>
    <w:p>
      <w:r>
        <w:rPr>
          <w:b/>
        </w:rPr>
        <w:t>E. 5.2</w:t>
      </w:r>
    </w:p>
    <w:p>
      <w:r>
        <w:t>Das Obergericht ging vom Vorliegen einer lebensprägenden Ehe aus, weshalb es für die Bestimmung des Unterhaltsanspruchs an die eheliche Lebenshaltung anknüpfte, nicht aber prüfte, ob ausgehend von den vorehelichen Verhältnissen ein allfälliger Unterhaltsanspruch der Beschwerdegegnerin in Betracht kommt. Wie die Beschwerdegegnerin zu Recht bemerkt, ist die erstmalige Bestimmung eines solchen Anspruchs gegebenenfalls unter Ergänzung des Sachverhalts nicht Aufgabe des Bundesgerichts und dem Obergericht zu überlassen ( Art. 107 Abs. 2 BGG ). Dieses wird den weiteren Vorbringen der Parteien Rechnung zu tragen haben, soweit diese noch zu hören sind (vgl. vorne E. 1.2).</w:t>
      </w:r>
    </w:p>
    <w:p>
      <w:r>
        <w:t>Der Beschwerdeführer erachtet allerdings einen allfälligen Unterhaltsanspruch der Beschwerdegegnerin als durch die von ihm beantragten Beiträge (vorne Bst. C) sowie die seit der Scheidung der Parteien (vorne Bst. A.a) gestützt auf die für die Dauer des Scheidungsverfahrens getroffene vorsorgliche Regelung geleisteten Beiträge - faktisch handle es sich um nachehelichen Unterhalt - als bei weitem abgegolten. Entsprechend BGE 147 III 249 müsse seine Unterhaltspflicht mit Erlass des vorliegenden Entscheids daher im Prinzip enden. Unterhalt sei der Beschwerdegegnerin folglich nur noch im Umfang des von ihm Beantragten zuzusprechen (vgl. Art. 99 Abs. 2 und Art. 107 Abs. 1 BGG ), weshalb das Bundesgericht reformatorisch entscheiden könne. Dem kann nicht gefolgt werden: Anders als hier stand in vorzitiertem Entscheid fest, dass die Ehefrau ab der definitiven Trennung zur vollen Ausschöpfung ihrer Eigenversorgungskapazität verpflichtet war ( BGE 147 III 249 E. 3.5.3). Dies trifft auf die Beschwerdegegnerin, der die Betreuung der gemeinsamen Tochter obliegt, unbestritten nicht zu. Unter diesen Umständen rechtfertigt sich ein Vorgehen nach dem Wunsch des Beschwerdeführers nicht. Nicht entscheidend erscheint dabei, dass durch eine Rückweisung der Sache an das Obergericht das Verfahren noch etwas länger dauert und der Beschwerdeführer zur Leistung des für die Verfahrensdauer festgelegten Unterhalts verpflichtet bleibt (vgl. dazu auch BGE 147 III 249 E. 3.5.3 a.E.). Ebenfalls bleibt unerheblich, dass der Beschwerdeführer sich unbestritten dazu bereit erklärt hat, der Beschwerdegegnerin auch nach der Trennung die Familienwohnung zu Wohnzwecken unentgeltlich zu überlassen.</w:t>
      </w:r>
    </w:p>
    <w:p>
      <w:r>
        <w:rPr>
          <w:b/>
        </w:rPr>
        <w:t>E. 5.3</w:t>
      </w:r>
    </w:p>
    <w:p>
      <w:r>
        <w:t>Nach dem Ausgeführten ist die Beschwerde teilweise gutzuheissen, sind die Ziffern 1/11 und 1/12a des angefochtenen Urteils aufzuheben und ist die Sache zum erneuten Entscheid über den nachehelichen Unterhalt an das Obergericht zurückzuweisen. Das Obergericht wird auch neu über die Kosten des kantonalen Verfahrens zu entscheiden haben ( Art. 67 und 68 Abs. 5 BGG ), weshalb die Ziffern 1/18, 1/19, 2 (soweit die Kosten betreffend) und 3-5 des angefochtenen Entscheids ebenfalls aufzuheben sind. Im Übrigen ist die Beschwerde abzuweisen.</w:t>
      </w:r>
    </w:p>
    <w:p>
      <w:r>
        <w:t>Betreffend die Kosten des bundesgerichtlichen Verfahrens gilt die Rückweisung der Angelegenheit an die Vorinstanz zu neuer Entscheidung unabhängig von den gestellten Anträgen als Obsiegen des Beschwerdeführers ( BGE 141 V 281 E. 11.1). Entsprechend diesem Ausgang des Verfahrens sind die Gerichtskosten der Beschwerdegegnerin aufzuerlegen ( Art. 66 Abs. 1 BGG ) und hat diese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