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5A_567/2021 vom 13. Juli 2021</w:t>
      </w:r>
    </w:p>
    <w:p>
      <w:r>
        <w:t>Bundesgericht, 2021-07-13, DE</w:t>
      </w:r>
    </w:p>
    <w:p>
      <w:r>
        <w:rPr>
          <w:b/>
        </w:rPr>
        <w:t xml:space="preserve">Quelle: </w:t>
      </w:r>
      <w:r>
        <w:t>https://mcp.opencaselaw.ch/entscheid/bger_5A_567_2021</w:t>
      </w:r>
    </w:p>
    <w:p>
      <w:r>
        <w:t>FR: TF 5A_567/2021 du 13 juillet 2021</w:t>
      </w:r>
    </w:p>
    <w:p>
      <w:r>
        <w:t>IT: TF 5A_567/2021 del 13 luglio 2021</w:t>
      </w:r>
    </w:p>
    <w:p>
      <w:pPr>
        <w:pStyle w:val="Heading2"/>
      </w:pPr>
      <w:r>
        <w:t>Erwägungen</w:t>
      </w:r>
    </w:p>
    <w:p>
      <w:r>
        <w:rPr>
          <w:b/>
        </w:rPr>
        <w:t>E. 1</w:t>
      </w:r>
    </w:p>
    <w:p>
      <w:r>
        <w:t>Angefochten ist der im Urteil des Kantonsgerichts von Graubünden enthaltene (Partei-) Kostenentscheid. Dagegen steht die Beschwerde in Zivilsachen offen, denn der Beschwerdeweg für die Kosten folgt demjenigen der Hauptsache ( BGE 134 I 159 E. 1.1 S. 160; Urteil 5A_997/2018 vom 11. Januar 2019 E. 1) und ohnehin wäre selbst im Zusammenhang mit den Kosten der für die Beschwerde in Zivilsachen erforderliche Mindeststreitwert erreicht ( Art. 72 Abs. 1, Art. 74 Abs. 1 lit. b,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Eine dahingehende Begründung findet sich in der Beschwerde nicht. Die Beschwerdeführerin beklagt sich über "das von den Richtern in U.________ fehlerhaft/unvollständig geführte Scheidungsprotokoll vom 20.2.2020" und darüber, dass sie die ihr zu Unrecht auferlegten hohen Kosten nicht bezahlen könne. Ferner verweist sie auf die in ihrer Sache ergangene bundesgerichtliche Abschreibungsverfügung 5A_348/2011 vom 1. Juli 2021, wonach es für den Kanton nicht ohne finanzielle Folgen bleiben könne, wenn er den Gerichten nicht genügend Personal zur Verfügung stelle. Allerdings steht der vorliegend angefochtene Kostenentscheid in keinem Zusammenhang mit dieser Aussage, sondern er erging gestützt auf die einschlägigen zivilprozessualen Normen. Diesbezüglich müsste sich die Beschwerdeführerin mit den ausführlichen Erwägungen des angefochtenen Entscheides zu den Kosten (S. 33-39), insbesondere mit den spezifischen Erwägungen zu den Rechtsgrundlagen und der konkreten Höhe der Parteientschädigung auseinandersetzen und darlegen, inwiefern Rechtssätze verletzt worden sein sollen. Dies tut sie nicht im Ansatz, sondern sie beschränkt sich darauf, ihre fehlenden finanziellen Ressourcen vorzutragen und zu beklagen, dass sie bislang bereits Fr. 480'000.-- in das Scheidungsverfahren investiert habe; dies ist indes nicht geeignet, eine Rechtsverletzung in Bezug auf die Kostenfestsetzung zu begründen.</w:t>
      </w:r>
    </w:p>
    <w:p>
      <w:r>
        <w:rPr>
          <w:b/>
        </w:rPr>
        <w:t>E. 4</w:t>
      </w:r>
    </w:p>
    <w:p>
      <w:r>
        <w:t>Ausserhalb des Anfechtungsgegenstandes stehen schliesslich die Fragen, welche die Beschwerdeführerin im Zusammenhang mit einem Schreiben des Gegenanwaltes vom 6. Juli 2021 stellt; das Bundesgericht kann keine allgemeinen Fragen beantworten oder Rechtsauskünfte erteilen.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