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565/2018 vom 11. Juli 2018</w:t>
      </w:r>
    </w:p>
    <w:p>
      <w:r>
        <w:t>Bundesgericht, 2018-07-11, DE</w:t>
      </w:r>
    </w:p>
    <w:p>
      <w:r>
        <w:rPr>
          <w:b/>
        </w:rPr>
        <w:t xml:space="preserve">Quelle: </w:t>
      </w:r>
      <w:r>
        <w:t>https://mcp.opencaselaw.ch/entscheid/bger_5A_565_2018</w:t>
      </w:r>
    </w:p>
    <w:p>
      <w:r>
        <w:t>FR: TF 5A 565/2018 du 11 juillet 2018</w:t>
      </w:r>
    </w:p>
    <w:p>
      <w:r>
        <w:t>IT: TF 5A 565/2018 del 11 luglio 2018</w:t>
      </w:r>
    </w:p>
    <w:p>
      <w:pPr>
        <w:pStyle w:val="Heading2"/>
      </w:pPr>
      <w:r>
        <w:t>Regeste</w:t>
      </w:r>
    </w:p>
    <w:p>
      <w:r>
        <w:t>Beistandschaft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 Das Bundesgericht legt seinem Urteil den von der Vorinstanz festgestellten Sachverhalt zugrunde ( Art. 105 Abs. 1 BGG ). In diesem Bereich kann lediglich eine offensichtlich unrichtige, d.h. willkürliche Sachverhaltsfeststellung gerügt werden, wobei das strenge Rügeprinzip gilt ( Art. 97 Abs. 1 und Art. 106 Abs. 2 BGG ; BGE 140 III 264 E. 2.3 S. 266 ; 143 I 310 E. 2.2 S. 313).</w:t>
      </w:r>
    </w:p>
    <w:p>
      <w:r>
        <w:rPr>
          <w:b/>
        </w:rPr>
        <w:t>E. 2</w:t>
      </w:r>
    </w:p>
    <w:p>
      <w:r>
        <w:t>Der Beschwerdeführer stellt keinerlei Rechtsbegehren und macht auch keine rechtlichen Ausführungen, sondern bestreitet unter der Überschrift "Aktualisierung und Richtigstellung der Fakten" verschiedene Sachverhaltsfeststellungen im angefochtenen Entscheid (betreffend Alkohol- und Drogenabhängigkeit, Entwicklungsstörungen bei C.________ und Kooperation mit der Schule), ohne dass diesbezüglich - weder formal noch inhaltlich - Willkürrügen erhoben würden.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