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5A_563/2013 vom 4. Oktober 2013</w:t>
      </w:r>
    </w:p>
    <w:p>
      <w:r>
        <w:t>Bundesgericht, 2013-10-04, DE</w:t>
      </w:r>
    </w:p>
    <w:p>
      <w:r>
        <w:rPr>
          <w:b/>
        </w:rPr>
        <w:t xml:space="preserve">Quelle: </w:t>
      </w:r>
      <w:r>
        <w:t>https://mcp.opencaselaw.ch/entscheid/bger_5A_563_2013</w:t>
      </w:r>
    </w:p>
    <w:p>
      <w:r>
        <w:t>FR: TF 5A_563/2013 du 4 octobre 2013</w:t>
      </w:r>
    </w:p>
    <w:p>
      <w:r>
        <w:t>IT: TF 5A_563/2013 del 4 ottobre 2013</w:t>
      </w:r>
    </w:p>
    <w:p>
      <w:pPr>
        <w:pStyle w:val="Heading2"/>
      </w:pPr>
      <w:r>
        <w:t>Erwägungen</w:t>
      </w:r>
    </w:p>
    <w:p>
      <w:r>
        <w:rPr>
          <w:b/>
        </w:rPr>
        <w:t>E. 1</w:t>
      </w:r>
    </w:p>
    <w:p>
      <w:r>
        <w:t>Gegen den Entscheid der (einzigen) Aufsichtsbehörde in Schuldbetreibungs- und Konkursangelegenheiten ist die Beschwerde in Zivilsachen unabhängig vom Streitwert zulässig ( Art. 72 Abs. 2 lit. a, Art. 74 Abs. 2 lit. c, Art. 75 BGG ). Sie ist fristgerecht erfolgt (Art. 100 Abs. 2 lit. a i.V.m. Art. 46 Abs. 1 lit. b BGG ). Die Beschwerde erweist sich als zulässig.</w:t>
      </w:r>
    </w:p>
    <w:p>
      <w:r>
        <w:rPr>
          <w:b/>
        </w:rPr>
        <w:t>E. 2</w:t>
      </w:r>
    </w:p>
    <w:p>
      <w:r>
        <w:t>Gegenstand des Verfahrens ist die Frage, ob die Entschädigung gemäss Art. 337c Abs. 3 OR , die dem Beschwerdeführer von seiner ehemaligen Arbeitgeberin wegen ungerechtfertigter fristloser Entlassung bezahlt wurde, gepfändet werden kann oder nicht. Nicht Gegenstand des Verfahrens ist hingegen die Zahlung gemäss Art. 337c Abs. 1 OR , die dem Beschwerdeführer ebenfalls zugesprochen wurde und deren Pfändbarkeit er nicht bestreitet.</w:t>
      </w:r>
    </w:p>
    <w:p>
      <w:r>
        <w:t>Die Aufsichtsbehörde hat nicht zwischen den verschiedenen Ansprüchen gemäss Art. 337c OR unterschieden, sondern die daraus fliessenden Ansprüche allesamt als Schadenersatzansprüche qualifiziert, die wie eine Lohnforderung zu behandeln und deshalb pfändbar seien. Der Beschwerdeführer macht geltend, der ihm aufgrund von Abs. 3 von Art. 337c OR zugesprochene Betrag stelle einen Ausgleich für die durch die Kündigung erlittene Persönlichkeitsverletzung und damit eine Genugtuung dar und sei deshalb unpfändbar.</w:t>
      </w:r>
    </w:p>
    <w:p>
      <w:r>
        <w:rPr>
          <w:b/>
        </w:rPr>
        <w:t>E. 3</w:t>
      </w:r>
    </w:p>
    <w:p>
      <w:r>
        <w:t>Art. 337c Abs. 3 OR sieht als Sanktion bei ungerechtfertigter fristloser Kündigung durch den Arbeitgeber eine Entschädigung von maximal sechs Monatslöhnen vor. Diese hat sowohl Strafcharakter als auch Genugtuungsfunktion und soll die durch die ungerechtfertigte fristlose Kündigung erlittene Persönlichkeitsverletzung des Arbeitnehmers abgelten ( BGE 135 III 405 E. 3.1 S. 407 f.; 123 III 391 E. 3c S. 394; 121 III 64 E. 3c S. 68; je mit Hinweisen). Gemäss dem Urteil des Richteramts Olten-Gösgen vom 20. Februar 2013 wurde dem Beschwerdeführer denn auch der vorliegend umstrittene Betrag von Fr. 8'000.-- (inkl. Zins) wegen der durch die Kündigung erlittenen Persönlichkeitsverletzung zugesprochen.</w:t>
      </w:r>
    </w:p>
    <w:p>
      <w:r>
        <w:t>Das Zwangsvollstreckungsrecht kennt keine Bestimmung, die die Entschädigung gemäss Art. 337c Abs. 3 OR oder andere Zahlungen mit Genugtuungsfunktion generell von der Pfändbarkeit ausnehmen würde. Gemäss Art. 92 Abs. 1 Ziff. 9 SchKG sind Renten, Kapitalabfindungen und andere Leistungen, die dem Opfer oder seinen Angehörigen für Körperverletzung, Gesundheitsstörung oder Tötung eines Menschen ausgerichtet werden, unpfändbar, soweit solche Leistungen Genugtuung, Ersatz für Heilungskosten oder für Anschaffung von Hilfsmitteln darstellen. Genugtuungsleistungen sind folglich nur dann unpfändbar, wenn sie wegen einer Gesundheitsstörung geschuldet werden oder bezahlt worden sind. Genugtuungszahlungen für blosse seelische Unbill bzw. für Persönlichkeitsverletzungen, die keine Gesundheitsstörung bewirken, sind hingegen pfändbar ( BGE 73 III 56 S. 57; GEORGES VONDER MÜHLL, in: Basler Kommentar, Bundesgesetz über Schuldbetreibung und Konkurs, 2. Aufl. 2010, N. 32 zu Art. 92 SchKG ; vgl. auch ROLAND BREHM, Berner Kommentar, 3. Aufl. 2006, N. 89 zu Art. 49 OR ; ferner STREIFF/VON KAENEL/RUDOLPH, Arbeitsvertrag, 7. Aufl. 2012, N. 16 zu Art. 337c OR ).</w:t>
      </w:r>
    </w:p>
    <w:p>
      <w:r>
        <w:t>Der Beschwerdeführer behauptet nicht, dass die ungerechtfertigte Kündigung bei ihm zu einer Gesundheitsstörung geführt habe, die mit der Entschädigung abgegolten worden wäre, und solches ergibt sich auch nicht aus dem Urteil des Richteramts. Im Ergebnis ist die Vorinstanz damit zu Recht zum Schluss gekommen, die dem Beschwerdeführer gemäss Art. 337c Abs. 3 OR zugesprochene Entschädigung sei pfändbar. Die Beschwerde ist abzuweisen.</w:t>
      </w:r>
    </w:p>
    <w:p>
      <w:r>
        <w:rPr>
          <w:b/>
        </w:rPr>
        <w:t>E. 4</w:t>
      </w:r>
    </w:p>
    <w:p>
      <w:r>
        <w:t>Es rechtfertigt sich,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