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5A_562/2023 vom 19. September 2023</w:t>
      </w:r>
    </w:p>
    <w:p>
      <w:r>
        <w:t>Bundesgericht, 2023-09-19, FR</w:t>
      </w:r>
    </w:p>
    <w:p>
      <w:r>
        <w:rPr>
          <w:b/>
        </w:rPr>
        <w:t xml:space="preserve">Quelle: </w:t>
      </w:r>
      <w:r>
        <w:t>https://mcp.opencaselaw.ch/entscheid/bger_5A_562_2023</w:t>
      </w:r>
    </w:p>
    <w:p>
      <w:r>
        <w:t>FR: TF 5A_562/2023 du 19 septembre 2023</w:t>
      </w:r>
    </w:p>
    <w:p>
      <w:r>
        <w:t>IT: TF 5A_562/2023 del 19 settembre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2 mars 2023, la Juge de paix du district de la Riviera- Pays-d'Enhaut a rejeté la requête de A.________ tendant à la restitution du délai de répudiation de la succession de B.________, décédé en Suisse le 11 décembre 2021.</w:t>
      </w:r>
    </w:p>
    <w:p>
      <w:r>
        <w:t>Par arrêt du 24 avril 2023, la Chambre des recours civile du Tribunal cantonal vaudois a déclaré irrecevable (pour tardiveté) le recours de la prénommée.</w:t>
      </w:r>
    </w:p>
    <w:p>
      <w:r>
        <w:rPr>
          <w:b/>
        </w:rPr>
        <w:t>E. 2</w:t>
      </w:r>
    </w:p>
    <w:p>
      <w:r>
        <w:t>Par acte déposé le 26 juillet 2023, A.________ forme un recours au Tribunal fédéral contre l'arrêt cantonal; elle demande "</w:t>
      </w:r>
    </w:p>
    <w:p>
      <w:r>
        <w:t>à être libérée de cette succession ".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La présente cause est de nature pécuniaire, de sorte que le recours en matière civile ( art. 72 ss LTF ) n'est recevable que si la valeur litigieuse atteint le seuil de 30'000 fr. ( art. 74 al. 1 let. b LTF ; arrêt 5A_594/2009 du 20 avril 2010 consid. 1.1 et les arrêts cités).</w:t>
      </w:r>
    </w:p>
    <w:p>
      <w:r>
        <w:t>En l'espèce, cette indication ne ressort pas de l'arrêt entrepris ( art. 112 al. 1 let . d LTF). Quant à la recourante, elle ne fournit aucun élément permettant d'estimer cette valeur; le dossier ne comporte pas non plus d'informations à ce sujet. Il s'ensuit que le recours s'avère irrecevable en tant que recours en matière civile ( ATF 136 III 60 consid. 1.1.1 et la jurisprudence citée), étant précisé qu'aucune des exceptions prévues à l' art. 74 al. 2 LTF n'est réalisée.</w:t>
      </w:r>
    </w:p>
    <w:p>
      <w:r>
        <w:rPr>
          <w:b/>
        </w:rPr>
        <w:t>E. 4</w:t>
      </w:r>
    </w:p>
    <w:p>
      <w:r>
        <w:t>Traité comme recours constitutionnel subsidiaire ( art. 113 ss LTF ), le recours serait aussi irrecevable. En effet, le mémoire est dépourvu de griefs de nature constitutionnelle ( art. 116 LTF ), motivés en conformité avec l' art. 106 al. 2 LTF (par renvoi de l' art. 117 LTF ; ATF 136 I 332 consid. 2.1 et les citations).</w:t>
      </w:r>
    </w:p>
    <w:p>
      <w:r>
        <w:rPr>
          <w:b/>
        </w:rPr>
        <w:t>E. 5</w:t>
      </w:r>
    </w:p>
    <w:p>
      <w:r>
        <w:t>Vu ce qui précède, le présent recours doit être déclaré irrecevable par voie de procédure simplifiée ( art. 108 al. 1 let. a LTF ), aux frais de la recourante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