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562/2019 vom 9. Oktober 2019</w:t>
      </w:r>
    </w:p>
    <w:p>
      <w:r>
        <w:t>Bundesgericht, 2019-10-09, IT</w:t>
      </w:r>
    </w:p>
    <w:p>
      <w:r>
        <w:rPr>
          <w:b/>
        </w:rPr>
        <w:t xml:space="preserve">Quelle: </w:t>
      </w:r>
      <w:r>
        <w:t>https://mcp.opencaselaw.ch/entscheid/bger_5A_562_2019</w:t>
      </w:r>
    </w:p>
    <w:p>
      <w:r>
        <w:t>FR: TF 5A 562/2019 du 9 octobre 2019</w:t>
      </w:r>
    </w:p>
    <w:p>
      <w:r>
        <w:t>IT: TF 5A 562/2019 del 9 ottobre 2019</w:t>
      </w:r>
    </w:p>
    <w:p>
      <w:pPr>
        <w:pStyle w:val="Heading2"/>
      </w:pPr>
      <w:r>
        <w:t>Regeste</w:t>
      </w:r>
    </w:p>
    <w:p>
      <w:r>
        <w:t>privazione del diritto di determinare il luogo di dimora del figlio | Diritto di famiglia</w:t>
      </w:r>
    </w:p>
    <w:p>
      <w:pPr>
        <w:pStyle w:val="Heading2"/>
      </w:pPr>
      <w:r>
        <w:t>Erwägungen</w:t>
      </w:r>
    </w:p>
    <w:p>
      <w:r>
        <w:rPr>
          <w:b/>
        </w:rPr>
        <w:t>E. 1.1</w:t>
      </w:r>
    </w:p>
    <w:p>
      <w:r>
        <w:t>Il tempestivo ricorso ( art. 100 cpv. 1 LTF ), inoltrato dalle parti soccombenti nella sede cantonale ( art. 76 cpv. 1 LTF ), è diretto contro una decisione finale ( art. 90 LTF ) pronunciata su ricorso dall'ultima istanza cantonale ( art. 75 LTF ) in materia di protezione dei minori e degli adulti (art. 72 cpv. 2 lett. b n. 6 LTF). Il gravame può pertanto essere trattato quale ricorso in materia civile.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Non possono essere addotti nuovi fatti o nuovi mezzi di prova, a meno che non ne dia motivo la decisione impugnata ( art. 99 cpv. 1 LTF ). Per contro, è ammissibile una nuova argomentazione giuridica: il Tribunale federale può esaminarla liberamente in virtù del principio iura novit curia ( art. 106 cpv. 1 LTF ) anche se la medesima non è stata sollevata avanti all'autorità inferiore, a patto tuttavia che essa si fondi sugli accertamenti di fatto della decisione impugnata ( DTF 135 III 49 consid. 5.1 con rinvii; 134 III 643 consid. 5.3.2 con rinvii).</w:t>
      </w:r>
    </w:p>
    <w:p>
      <w:r>
        <w:rPr>
          <w:b/>
        </w:rPr>
        <w:t>E. 2.1</w:t>
      </w:r>
    </w:p>
    <w:p>
      <w:r>
        <w:t>Se il bene del figlio è minacciato e i genitori non vi rimediano o non sono in grado di rimediarvi, l'autorità di protezione dei minori ordina le misure opportune per la protezione del figlio ( art. 307 cpv. 1 CC ). Quando il figlio non possa essere altrimenti sottratto al pericolo, l'autorità di protezione dei minori deve toglierlo alla custodia dei genitori, o dei terzi presso cui egli si trova, e ricoverarlo convenientemente ( art. 310 cpv. 1 CC ). La misura di protezione dell' art. 310 cpv. 1 CC ha come conseguenza che il diritto di determinare il luogo di dimora del figlio viene tolto ai genitori o a un genitore e trasferito all'autorità di protezione dei minori, la quale diventa allora responsabile della cura del figlio. Il pericolo giustificante il ritiro deve risiedere nel fatto che il figlio non sia così protetto o sostenuto nell'ambiente dei genitori o del genitore come richiederebbe il suo sviluppo fisico, intellettuale e morale. Le cause del pericolo sono irrilevanti: esse possono risiedere nelle predisposizioni o in un comportamento inadeguato del figlio, dei genitori o di altre persone della cerchia familiare. Nemmeno il fatto che i genitori siano colpevoli della messa in pericolo ha importanza. Sono determinanti le circostanze al momento del ritiro. Occorre essere restrittivi nell'apprezzamento delle circostanze, un ritiro è concepibile soltanto se altre misure non hanno avuto successo o appaiano di primo acchito insufficienti. La privazione del diritto di determinare il luogo di dimora è pertanto ammissibile soltanto se il figlio non possa essere sottratto al pericolo attraverso altre misure previste agli art. 307 e 308 CC (sentenza 5A_724/2015 del 2 giugno 2016 consid. 6.3, non pubblicato in DTF 142 I 188 ).</w:t>
      </w:r>
    </w:p>
    <w:p>
      <w:r>
        <w:rPr>
          <w:b/>
        </w:rPr>
        <w:t>E. 2.2</w:t>
      </w:r>
    </w:p>
    <w:p>
      <w:r>
        <w:t>Il Presidente della Camera di protezione ha dapprima spiegato di poter unicamente trattare la richiesta volta a revocare la privazione del diritto di determinare il luogo di dimora del minore e a farlo rientrare a casa dai genitori, mentre la domanda di revocare il collocamento coattivo a scopo di cura e assistenza è di competenza della Commissione giuridica in materia di assistenza sociopsichiatrica (la cui procedura si è peraltro già conclusa con un decreto di stralcio) e le critiche contro l'operato asseritamente negligente dell'Autorità regionale di protezione 7 sede di Capriasca non giustificano l'avvio di un procedimento presso l'ispettorato (autorità di vigilanza). Il Giudice cantonale ha poi ritenuto che la conferma, da parte dell'autorità di protezione, del ritiro del diritto di determinare il luogo di dimora del figlio ai genitori rispetti i presupposti dell' art. 310 cpv. 1 CC e sia adeguata per tutelare il bene del minore. Dai vari pareri espressi dai professionisti che si occupano del figlio emerge infatti l'esigenza di continuare e di portare a termine il percorso terapeutico in comunità: un rientro a casa del minore sarebbe prematuro e rischioso, anche alla luce dell'attitudine dei genitori di negazione delle fragilità emotive e psichiche del figlio (fragilità che sembrano esistere indipendentemente dall'abuso di sostanze).</w:t>
      </w:r>
    </w:p>
    <w:p>
      <w:r>
        <w:rPr>
          <w:b/>
        </w:rPr>
        <w:t>E. 2.3</w:t>
      </w:r>
    </w:p>
    <w:p>
      <w:r>
        <w:t>Giova innanzitutto rilevare che oggetto di disamina dinanzi al Tribunale federale può essere unicamente la sentenza 11 giugno 2019 del Presidente della Camera di protezione. Nella misura in cui i ricorrenti criticano decisioni di altre autorità (segnatamente le decisioni 21 novembre 2018, 19 dicembre 2018 e 27 febbraio 2019 dell'autorità di protezione, nonché il decreto di stralcio della Commissione giuridica in materia di assistenza sociopsichiatrica) oppure l'operato di altri servizi, il loro ricorso va quindi dichiarato di primo acchito inammissibile. Dal (prolisso) gravame si possono estrarre, avverso la sentenza 11 giugno 2019, le censure seguenti.</w:t>
      </w:r>
    </w:p>
    <w:p>
      <w:r>
        <w:rPr>
          <w:b/>
        </w:rPr>
        <w:t>E. 2.3.1</w:t>
      </w:r>
    </w:p>
    <w:p>
      <w:r>
        <w:t>I ricorrenti presentano la propria versione dei fatti della causa completando e correggendo quella del Giudice cantonale, in particolare evidenziando negligenze che sarebbero state compiute dalle autorità coinvolte e congetture che sarebbero contenute nelle valutazioni stabilite dai professionisti che si occupano del figlio. Tali critiche contro l'accertamento dei fatti e l'apprezzamento delle prove effettuati dall'autorità inferiore sono tuttavia irricevibili: gli insorgenti omettono infatti di sollevare e motivare una violazione del divieto dell'arbitrio (art. 97 cpv. 1 e 106 cpv. 2 LTF; supra consid. 1.3) e si basano in parte su circostanze nuove senza che siano dati i presupposti dell' art. 99 cpv. 1 LTF (supra consid. 1.3).</w:t>
      </w:r>
    </w:p>
    <w:p>
      <w:r>
        <w:rPr>
          <w:b/>
        </w:rPr>
        <w:t>E. 2.3.2</w:t>
      </w:r>
    </w:p>
    <w:p>
      <w:r>
        <w:t>Gli insorgenti censurano poi una violazione del diritto di essere sentiti. Ritengono di non aver potuto prendere visione di tutti i rapporti relativi al figlio menzionati nel decreto 21 novembre 2018 e di non aver pertanto potuto preparare adeguatamente il loro ricorso. Tale argomentazione giuridica è nuova ed è fondata su circostanze che contraddicono i fatti risultanti dagli atti, secondo cui, durante l'udienza 12 dicembre 2018 dinanzi all'autorità di protezione, ai genitori sono state consegnate le copie dei rapporti che essi sostenevano di non aver ricevuto con il decreto 21 novembre 2018 (v. supra consid. in fatto A). La critica va quindi dichiarata irricevibile già per questo motivo (supra consid. 1.3).</w:t>
      </w:r>
    </w:p>
    <w:p>
      <w:r>
        <w:rPr>
          <w:b/>
        </w:rPr>
        <w:t>E. 2.3.3</w:t>
      </w:r>
    </w:p>
    <w:p>
      <w:r>
        <w:t>I ricorrenti ribadiscono infine di essere degli ottimi genitori e di non costituire un pericolo per il figlio, il quale non soffrirebbe di patologie particolari, sarebbe ormai "ampiamente guarito da uso di stupefacenti e alcol" e necessiterebbe soltanto di essere reintegrato scolasticamente e professionalmente "nel normale corso della vita". Come spiegato (supra consid. 2.1), per ritirare la custodia parentale non occorre necessariamente che i genitori siano responsabili della messa in pericolo del figlio, bensì che quest'ultimo non possa essere protetto o sostenuto nell'ambiente dei genitori come richiederebbe il suo sviluppo fisico, intellettuale e morale. Ora, nel caso concreto, secondo le valutazioni degli specialisti che si occupano del minore (valutazioni che i ricorrenti non sono riusciti ad invalidare; supra consid. 2.3.1), il suo bene esige che egli continui e porti a termine il percorso terapeutico senza essere sotto la custodia dei ricorrenti, i quali non sono (ancora) in misura di aiutarlo a sufficienza. La censura risulta pertanto infondata.</w:t>
      </w:r>
    </w:p>
    <w:p>
      <w:r>
        <w:rPr>
          <w:b/>
        </w:rPr>
        <w:t>E. 3</w:t>
      </w:r>
    </w:p>
    <w:p>
      <w:r>
        <w:t>Da quanto precede discende che il ricorso deve essere respinto nella misura della sua ammissibilità. Indipendentemente dalla loro pretesa indigenza, la domanda di assistenza giudiziaria dei ricorrenti va respinta, il rimedio non avendo fin dall'inizio probabilità di successo ( art. 64 cpv. 1 LTF ). Le spese giudiziarie sono pertanto poste a loro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