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5A_55/2018 vom 2. Februar 2018</w:t>
      </w:r>
    </w:p>
    <w:p>
      <w:r>
        <w:t>Bundesgericht, 2018-02-02, DE</w:t>
      </w:r>
    </w:p>
    <w:p>
      <w:r>
        <w:rPr>
          <w:b/>
        </w:rPr>
        <w:t xml:space="preserve">Quelle: </w:t>
      </w:r>
      <w:r>
        <w:t>https://mcp.opencaselaw.ch/entscheid/bger_5A_55_2018</w:t>
      </w:r>
    </w:p>
    <w:p>
      <w:r>
        <w:t>FR: TF 5A_55/2018 du 2 février 2018</w:t>
      </w:r>
    </w:p>
    <w:p>
      <w:r>
        <w:t>IT: TF 5A_55/2018 del 2 febbraio 2018</w:t>
      </w:r>
    </w:p>
    <w:p>
      <w:pPr>
        <w:pStyle w:val="Heading2"/>
      </w:pPr>
      <w:r>
        <w:t>Erwägungen</w:t>
      </w:r>
    </w:p>
    <w:p>
      <w:r>
        <w:rPr>
          <w:b/>
        </w:rPr>
        <w:t>E. 1</w:t>
      </w:r>
    </w:p>
    <w:p>
      <w:r>
        <w:t>Angefochten ist ein kantonal letztinstanzlicher Entscheid betreffend Erteilung der aufschiebenden Wirkung. Dieser stellt einen Zwischenentscheid dar, der nur unter den besonderen Voraussetzungen von Art. 93 Abs. 1 BGG mit Beschwerde beim Bundesgericht angefochten werden kann. Ein nicht wieder gutzumachender Nachteil im Sinn von Art. 93 Abs. 1 lit. a BGG muss rechtlicher Natur sein und setzt voraus, dass er auch durch einen günstigen Endentscheid nicht mehr behoben werden könnte ( BGE 142 III 798 E. 2.2 S. 801).</w:t>
      </w:r>
    </w:p>
    <w:p>
      <w:r>
        <w:t>Die Beschwerdeführerin bringt diesbezüglich - zutreffend mit Verfassungsrügen, weil Eheschutzentscheide vorsorgliche Massnahme im Sinn von Art. 98 BGG darstellen ( BGE 133 III 393 E. 5.1 S. 397) - vor, dass das Kind bislang praktisch nur bei ihr übernachtet habe und die sofortige Vollstreckbarkeit für dieses einen grossen Einschnitt bedeuten würde. Dies stellt keine genügende Begründung für die ausnahmsweise Zulässigkeit der Beschwerde dar, weil damit kein eigener rechtlicher Nachteil vorgebracht wird. Insbesondere wird die mit der Obhutsregelung verknüpfte Zuteilung der ehelichen Wohnung einzig in der Sachbegründung, nicht aber im Zusammenhang mit der davon zu trennenden Frage der Begründung des rechtlichen Nachteils als Eintretensvoraussetzung erwähnt.</w:t>
      </w:r>
    </w:p>
    <w:p>
      <w:r>
        <w:rPr>
          <w:b/>
        </w:rPr>
        <w:t>E. 2</w:t>
      </w:r>
    </w:p>
    <w:p>
      <w:r>
        <w:t>Ohnehin könnte der Beschwerde aber auch in der Sache kein Erfolg beschieden sein:</w:t>
      </w:r>
    </w:p>
    <w:p>
      <w:r>
        <w:t>Die Rüge der Verletzung der Begründungspflicht als Teilgehalt des rechtlichen Gehörs (zu den aus Art. 29 Abs. 2 BV fliessenden Begründungsanforderungen vgl. BGE 139 IV 179 E. 2.2 S. 183; 141 III 28 E. 3.2.4 S. 41; 141 IV 249 E. 1.3.1 S. 253) ginge insofern fehl, als das Obergericht - unter Berücksichtigung der für den Entscheid über die aufschiebende Wirkung gebotenen Kürze - sich zu den wesentlichen Vorbringen geäussert hat und klar ersichtlich ist, von welchen entscheidwesentlichen Gesichtspunkten es ausgegangen ist.</w:t>
      </w:r>
    </w:p>
    <w:p>
      <w:r>
        <w:t>Die Willkürrüge, die geteilte Obhut entspreche nicht der bisherigen überwiegenden Betreuung des Kindes durch die Mutter, bliebe insofern unsubstanziiert (zu den Substanziierungsanforderungen bei Willkürrügen vgl. BGE 140 III 264 E. 2.3 S. 266; 141 IV 249 E. 1.3.1 S. 253), als sich die Beschwerdeführerin nicht mit der obergerichtlichen Erwägung auseinandersetzt, dies sei primär durch ihre nicht zulassende Verhaltensweise und die Deeskalationsversuche des Vaters bedingt. Ferner bliebe die Willkürrüge auch insofern unsubstanziiert, als es beim abstrakten Vorbringen bleibt, das Kind würde die Mutter jede zweite Woche von Mittwochmorgen bis Sonntagabend nicht mehr sehen, was seine emotionale Entwicklung nachhaltig beeinträchtige. Soweit sie konkret einzig vorbringt, dies habe sich beim zwischenzeitlichen Vollzug der Regelung insofern gezeigt, als sie einen müden Sohn in Empfang genommen habe, würde es sich um ein echtes Novum handeln, welches im bundesgerichtlichen Verfahren grundsätzlich ausgeschlossen wäre ( BGE 133 IV 342 E. 2.1 S. 344; 139 III 120 E. 3.1.2 S. 123), aber als blosse Behauptung ohnehin auch von der Sache her keine Kindeswohlgefährdung aufzeigen könnte.</w:t>
      </w:r>
    </w:p>
    <w:p>
      <w:r>
        <w:rPr>
          <w:b/>
        </w:rPr>
        <w:t>E. 3</w:t>
      </w:r>
    </w:p>
    <w:p>
      <w:r>
        <w:t>Nach dem Gesagten erweist sich die Beschwerde als offensichtlich unbegründet, weshalb auf sie im Verfahren nach Art. 109 Abs. 2 lit. a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