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5A_559/2020 vom 19. April 2021</w:t>
      </w:r>
    </w:p>
    <w:p>
      <w:r>
        <w:t>Bundesgericht, 2021-04-19, DE</w:t>
      </w:r>
    </w:p>
    <w:p>
      <w:r>
        <w:rPr>
          <w:b/>
        </w:rPr>
        <w:t xml:space="preserve">Quelle: </w:t>
      </w:r>
      <w:r>
        <w:t>https://mcp.opencaselaw.ch/entscheid/bger_5A_559_2020</w:t>
      </w:r>
    </w:p>
    <w:p>
      <w:r>
        <w:t>FR: TF 5A_559/2020 du 19 avril 2021</w:t>
      </w:r>
    </w:p>
    <w:p>
      <w:r>
        <w:t>IT: TF 5A_559/2020 del 19 aprile 2021</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BGG ). Die Beschwerde ist grundsätzlich zulässig. Die nach Fristablauf eingereichten Schreiben des Beschwerdeführers werden nicht berücksichtigt ( Art. 100 Abs. 2 lit. a BGG ), soweit es sich nicht um die Korrektur offensichtlicher Verschriebe handelt.</w:t>
      </w:r>
    </w:p>
    <w:p>
      <w:r>
        <w:rPr>
          <w:b/>
        </w:rPr>
        <w:t>E. 1.2</w:t>
      </w:r>
    </w:p>
    <w:p>
      <w:r>
        <w:t>Der Beschwerdeführer hat am vorinstanzlichen Verfahren teilgenommen. Er ist als Arrestschuldner vom angefochtenen Entscheid besonders berührt und hat ein schutzwürdiges Interesse an dessen Aufhebung oder Änderung. Er ist daher zur Beschwerde berechtigt ( Art. 76 Abs. 1 lit. a und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 Das Bundesgericht legt seinem Urteil den Sachverhalt zugrunde, den die Vorinstanz festgestellt hat ( Art. 105 Abs. 1 BGG ). Neue Tatsachen und Beweismittel sind nur zulässig, soweit der vorinstanzliche Entscheid dazu Anlass gibt ( Art. 99 Abs. 1 BGG ), was in der Beschwerde näher darzulegen ist ( BGE 133 III 393 E. 3).</w:t>
      </w:r>
    </w:p>
    <w:p>
      <w:r>
        <w:rPr>
          <w:b/>
        </w:rPr>
        <w:t>E. 2</w:t>
      </w:r>
    </w:p>
    <w:p>
      <w:r>
        <w:t>Anlass zur vorliegenden Beschwerde gibt die Rechtzeitigkeit der Prosequierung eines Steuerarrestes.</w:t>
      </w:r>
    </w:p>
    <w:p>
      <w:r>
        <w:rPr>
          <w:b/>
        </w:rPr>
        <w:t>E. 2.1</w:t>
      </w:r>
    </w:p>
    <w:p>
      <w:r>
        <w:t>Hat der Steuerpflichtige keinen Wohnsitz in der Schweiz oder scheint der Bezug der Steuern gefährdet, so kann die zuständige Steuerbehörde eine Sicherstellung der direkten Bundessteuern anordnen ( Art. 169 Abs. 1 DBG ). Nach dieser Regelung richtet sich auch das kantonale Steuerrecht ( § 181 StG /ZH). Die Sicherstellungsverfügung ist dem Arrestbefehl nach Art. 274 SchKG gleichgestellt ( Art. 170 Abs. 1 DBG ; § 182 StG /ZH), wobei letzter vom Richter zu bewilligen ist. Demgegenüber tritt die Steuerbehörde zugleich als Gläubigerin und Arrestbewilligungsinstanz auf. Während gegen deren Arrestbefehl keine Einsprache möglich ist ( Art. 170 Abs. 1 DBG ; § 182 Abs. 2 StG /ZH), kann die Sicherstellungsverfügung auf dem verwaltungsrechtlichen Weg angefochten werden ( Art. 169 Abs. 3 DBG ; § 182 Abs. 2 StG /ZH; BGE 145 III 30 E. 7.3.1 und 7.3.2; 143 III 573 E. 4.1.1 und 4.1.2).</w:t>
      </w:r>
    </w:p>
    <w:p>
      <w:r>
        <w:rPr>
          <w:b/>
        </w:rPr>
        <w:t>E. 2.2</w:t>
      </w:r>
    </w:p>
    <w:p>
      <w:r>
        <w:t>Der Arrest wird durch das zuständige Betreibungsamt vollzogen ( Art. 170 Abs. 1 DBG ; § 182 Abs. 1 StG /ZH). In der Praxis erlässt die Steuerbehörde eine Sicherstellungsverfügung, dem sie einen Arrestbefehl beifügt, welcher die Arrestgegenstände bezeichnet. Ihm kommt für sich genommen keine eigenständige Bedeutung zu, da er nur zugleich mit der Sicherstellungsverfügung durchsetzbar ist. Das mit dem Vollzug des Arrestes beauftragte Betreibungsamt setzt anschliessend den Steuerpflichtigen in Kenntnis ( BGE 145 III 30 E. 7.3.2). Der Steuerarrest ist wie der Arrest nach Art. 274 SchKG nur eine provisorische Sicherungsmassnahme ( BGE 145 III 30 E. 7.3.3; BGE 143 III 573 E. 4.1). Sie fällt dahin, wenn der Arrest nicht fristgerecht prosequiert wird ( Art. 280 Ziff. 1 SchKG ). Während die Prosequierung des Arrestes nach Art. 274 SchKG durch Klageerhebung und anschliessende Betreibung oder direkt durch Betreibung erfolgen kann ( Art. 279 Abs. 1 SchKG ; BGE 138 III 528 E. 4), gelten für den Steuerarrest die verwaltungsrechtlichen Regelungen.</w:t>
      </w:r>
    </w:p>
    <w:p>
      <w:r>
        <w:rPr>
          <w:b/>
        </w:rPr>
        <w:t>E. 2.2.1</w:t>
      </w:r>
    </w:p>
    <w:p>
      <w:r>
        <w:t>So gilt der Arrest als prosequiert, sobald das Einschätzungsverfahren eröffnet ist, eine Mahnung oder eine Busse ausgesprochen wurde. Wurde der Arrest vorab vollzogen, so muss innert zehn Tagen ab Erhalt der Arresturkunde das Einschätzungsverfahren eröffnet oder eine Betreibung auf Sicherheitsleistung eingeleitet werden ( Art. 279 Abs. 1 SchKG ; BGE 145 III 30 E. 7.3.3.1).</w:t>
      </w:r>
    </w:p>
    <w:p>
      <w:r>
        <w:rPr>
          <w:b/>
        </w:rPr>
        <w:t>E. 2.2.2</w:t>
      </w:r>
    </w:p>
    <w:p>
      <w:r>
        <w:t>Wurde hingegen das Einschätzungsverfahren</w:t>
      </w:r>
    </w:p>
    <w:p>
      <w:r>
        <w:t>vorher eröffnet, so muss innert zehn Tagen ab Eröffnung des Entscheides eine Betreibung auf Zahlung erfolgen, um den Arrest aufrecht zu erhalten ( Art. 279 Abs. 4 SchKG ; BGE 145 III 30 E. 7.3.3.1). Als Klageerhebung im Sinne von Art. 279 Abs. 1 SchKG gilt nicht nur die Einleitung eines Veranlagungs-, Nachsteuer- oder Bussenverfahrens, sondern auch der Erlass der Sicherstellungsverfügung, welche ebenfalls zum Rechtsöffnungstitel führt ( Art. 169 Abs. 1 DBG ; § 181 Abs. 1 StG /ZH; FREY, Sicherstellungsverfügung und Arrestbefehl, 2009, S. 267-270; u.a. CRESTANI, Rolle und Aufgaben des Betreibungsamts im Arrestverfahren, ZZZ 2017 S. 173).</w:t>
      </w:r>
    </w:p>
    <w:p>
      <w:r>
        <w:rPr>
          <w:b/>
        </w:rPr>
        <w:t>E. 2.3</w:t>
      </w:r>
    </w:p>
    <w:p>
      <w:r>
        <w:t>Im vorliegenden Fall erliess das kantonale Steueramt insgesamt vier Sicherstellungsverfügungen jeweils mit einem Arrestbefehl vom selben Datum. Dagegen erhoben der Beschwerdeführer und, soweit davon betroffen, seine Ehefrau erfolglos Beschwerde beim kantonalen Verwaltungsgericht. In zwei Fällen erfolgte ein ebenfalls erfolgloser Weiterzug an das Bundesgericht.</w:t>
      </w:r>
    </w:p>
    <w:p>
      <w:r>
        <w:rPr>
          <w:b/>
        </w:rPr>
        <w:t>E. 2.3.1</w:t>
      </w:r>
    </w:p>
    <w:p>
      <w:r>
        <w:t>Die Urteile des Verwaltungsgerichts gegen die Sicherstellungsverfügung vom 3. September 2018 (Arrestbefehl Nr. 90/2018) und vom 17. Oktober 2018 (Arrestbefehl Nr. 91/2018) datieren beide vom 13. Dezember 2018. Diese wurden beim Bundesgericht nicht angefochten. Mit Zahlungsbefehlen vom 23. Januar 2019 bzw. 25. Januar 2019 leiteten die Beschwerdegegner beim Betreibungsamt die Betreibung auf Sicherheitsleistung (Nr. 148'129 und Nr. 148'130) ein.</w:t>
      </w:r>
    </w:p>
    <w:p>
      <w:r>
        <w:t>Nach Ansicht des Beschwerdeführers sind die Arreste Nr. 90/2018 und Nr. 91/2018 nicht fristgerecht prosequiert worden. Er bringt vor, dass die Urteile des Verwaltungsgerichts erst am 2. Februar 2019 in Rechtskraft erwachsen seien. Die zuvor eingereichten Betreibungen auf Sicherheitsleistungen könnten daher die beiden Arreste nicht prosequieren.</w:t>
      </w:r>
    </w:p>
    <w:p>
      <w:r>
        <w:rPr>
          <w:b/>
        </w:rPr>
        <w:t>E. 2.3.2</w:t>
      </w:r>
    </w:p>
    <w:p>
      <w:r>
        <w:t>Die Urteile des Verwaltungsgerichts gegen die beiden Sicherstellungsverfügungen vom 20. November 2018 (Arrestbefehle Nr. 92/2018 und Nr. 93/2018) datieren 29. Mai 2019. Das Bundesgericht wies die dagegen erhobenen Beschwerden am 15. August 2019 ab. Mit Zahlungsbefehlen vom 30. Juli 2019 leiteten die Beschwerdegegner beim Betreibungsamt die Betreibungen auf Sicherheitsleistung (Nr. 151'050 und Nr. 151'049) ein.</w:t>
      </w:r>
    </w:p>
    <w:p>
      <w:r>
        <w:t>Der Beschwerdeführer bringt auch hier vor, dass die Prosequierung der Arreste Nr. 92/2018 und Nr. 93/2018 verfrüht erfolgt seien. Erst mit dem abweisenden Urteil des Bundesgerichts seien die Sicherstellungsverfügungen in Rechtskraft erwachsen. Damit könnten die zuvor erhobenen Betreibungen auf Sicherheitsleistungen die beiden Arreste nicht prosequieren.</w:t>
      </w:r>
    </w:p>
    <w:p>
      <w:r>
        <w:rPr>
          <w:b/>
        </w:rPr>
        <w:t>E. 2.4</w:t>
      </w:r>
    </w:p>
    <w:p>
      <w:r>
        <w:t>Zur Prüfung, ob der Arrest rechtzeitig prosequiert worden ist, muss vom Erhalt der Arresturkunden ausgegangen werden. Ab diesem Zeitpunkt ist der Arrest innert zehn Tagen zu prosequieren, ansonsten er dahinfällt ( Art. 280 Abs. 1 SchKG ). Im kantonalen Verfahren betonte der Beschwerdeführer stets, dass die vier Arreste nicht rechtzeitig prosequiert worden waren und darum von Amtes wegen aufzuheben seien. Demgegenüber bringt er nun vor Bundesgericht vor, dass die Prosequierung der Arreste verfrüht und daher untauglich erfolgt ist.</w:t>
      </w:r>
    </w:p>
    <w:p>
      <w:r>
        <w:rPr>
          <w:b/>
        </w:rPr>
        <w:t>E. 2.4.1</w:t>
      </w:r>
    </w:p>
    <w:p>
      <w:r>
        <w:t>Dass die Beschwerdegegner bezüglich der Arreste Nr. 90/2018 und Nr. 91/2018 innert der gesetzlichen Frist die Betreibung auf Sicherheitsleistung eröffnet haben, steht fest. Alsdann haben sie ebenfalls innert der gesetzlichen Frist ein Gesuch um die definitive Rechtsöffnung eingereicht, nachdem die Beschwerdeführer Rechtsvorschlag erhoben haben. Gegen die Sicherstellungsverfügungen in den beiden Arresten ist zudem je eine Beschwerde an das kantonale Verwaltungsgericht erfolgt, welche am 13. Dezember 2018 letztinstanzlich abgewiesen worden sind. Nach Ansicht des Beschwerdeführers hätten die Betreibungsbegehren jedoch nicht erfolgen dürfen, bevor seine Beschwerden gegen die Sicherstellungsverfügungen rechtskräftig erledigt waren.</w:t>
      </w:r>
    </w:p>
    <w:p>
      <w:r>
        <w:rPr>
          <w:b/>
        </w:rPr>
        <w:t>E. 2.4.2</w:t>
      </w:r>
    </w:p>
    <w:p>
      <w:r>
        <w:t>Auch betreffend die Arreste Nr. 92/2018 und Nr. 93/2018 haben die Beschwerdegegner innert der gesetzlichen Frist ein Betreibungsbegehren gestellt. Der Beschwerdeführer und seine Ehefrau haben in beiden Betreibungen keinen Rechtsvorschlag erhoben. Hingegen sind sie gegen die zwei Sicherstellungsverfügungen erfolglos an das kantonale Verwaltungsgericht gelangt. Schliesslich hat das Bundesgericht ihre Beschwerden in öffentlich-rechtlichen Angelegenheiten am 15. August 2019 abgewiesen, soweit darauf einzutreten war.</w:t>
      </w:r>
    </w:p>
    <w:p>
      <w:r>
        <w:rPr>
          <w:b/>
        </w:rPr>
        <w:t>E. 2.4.3</w:t>
      </w:r>
    </w:p>
    <w:p>
      <w:r>
        <w:t>Dem provisorischen Sicherungscharakter zufolge muss der Arrest unverzüglich prosequiert werden, weshalb hierfür kurze Fristen gelten (Art. 279 Abs. 1 bis 4 SchKG). Indes legt das Gesetz nur fest, bis wann der Gläubiger tätig werden muss, damit der Arrest nicht hinfällig wird. Hingegen ist es ihm nicht verwehrt, bereits</w:t>
      </w:r>
    </w:p>
    <w:p>
      <w:r>
        <w:t>vor dem Erhalt der Arresturkunde die nötigen Schritte einzuleiten, zumal dem Schuldner dadurch kein Nachteil erwächst (E. 2.2.2; vgl. BGE 146 III 157 E. 8.1; 135 III 551 E. 2.3). Damit spielt es vorliegend keine Rolle, dass die Beschwerdegegner bezüglich der vier Arreste die Betreibung auf Prosequierung eingereicht haben,</w:t>
      </w:r>
    </w:p>
    <w:p>
      <w:r>
        <w:t>bevor über die Rechtmässigkeit der Sicherstellungsverfügung</w:t>
      </w:r>
    </w:p>
    <w:p>
      <w:r>
        <w:t>rechtskräftig entschieden wurde (FREY, a.a.O., S. 269 f.). Dass die Vorinstanz die Regeln über den Eintritt der Rechtskraft der Sicherstellungsverfügung verkannt habe, wird nicht gerügt und ist vorliegend nicht zu erörtern.</w:t>
      </w:r>
    </w:p>
    <w:p>
      <w:r>
        <w:rPr>
          <w:b/>
        </w:rPr>
        <w:t>E. 2.5</w:t>
      </w:r>
    </w:p>
    <w:p>
      <w:r>
        <w:t>Nach dem Gesagten kann der Vorinstanz hinsichtlich der fristgerechten Arrestprosequierung keine Verletzung von Bundesrecht vorgeworfen werden. Was der Beschwerdeführer dagegen vorbringt, erschöpft sich im Vorwurf, die Vorinstanz habe über seine Anträge zu Gunsten der Beschwerdegegner ergebnisorientiert und damit willkürlich entschieden.</w:t>
      </w:r>
    </w:p>
    <w:p>
      <w:r>
        <w:rPr>
          <w:b/>
        </w:rPr>
        <w:t>E. 3</w:t>
      </w:r>
    </w:p>
    <w:p>
      <w:r>
        <w:t>Die Beschwerde ist abzuweisen, soweit darauf einzutreten ist. Da den Beschwerdeanträgen zufolge Aussichtslosigkeit kein Erfolg beschieden sein konnte, wird das Gesuch des Beschwerdeführers um unentgeltliche Rechtspflege nicht bewilligt ( Art. 64 Abs. 1 BGG ). Ausgangsgemäss werden ihm die Verfahrenskosten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