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5A_559/2019 vom 10. Juni 2021</w:t>
      </w:r>
    </w:p>
    <w:p>
      <w:r>
        <w:t>Bundesgericht, 2021-06-10, FR</w:t>
      </w:r>
    </w:p>
    <w:p>
      <w:r>
        <w:rPr>
          <w:b/>
        </w:rPr>
        <w:t xml:space="preserve">Quelle: </w:t>
      </w:r>
      <w:r>
        <w:t>https://mcp.opencaselaw.ch/entscheid/bger_5A_559_2019</w:t>
      </w:r>
    </w:p>
    <w:p>
      <w:r>
        <w:t>FR: TF 5A_559/2019 du 10 juin 2021</w:t>
      </w:r>
    </w:p>
    <w:p>
      <w:r>
        <w:t>IT: TF 5A_559/2019 del 10 giugno 2021</w:t>
      </w:r>
    </w:p>
    <w:p>
      <w:pPr>
        <w:pStyle w:val="Heading2"/>
      </w:pPr>
      <w:r>
        <w:t>Erwägungen</w:t>
      </w:r>
    </w:p>
    <w:p>
      <w:r>
        <w:rPr>
          <w:b/>
        </w:rPr>
        <w:t>E. 1</w:t>
      </w:r>
    </w:p>
    <w:p>
      <w:r>
        <w:t>Le jugement attaqué, qui confirme la décision de la Juge de commune d'ordonner l'administration d'office d'une succession ( art. 554 CC ) en application de l' art. 89 LDIP , est une décision finale ( art. 90 LTF ; cf. arrêt 5A_841/2013 du 18 février 2014 consid. 1.1) qui tranche une cause civile ( art. 72 al. 1 LTF ) relevant de la juridiction gracieuse (arrêts 5A_171/2010 du 19 avril 2010 consid. 1; 5P.112/2002 du 16 juillet 2002 consid. 1.1; 5P.171/2001 du 19 mars 2002 consid. 2a; 5P.400/1999 du 25 mai 2000 consid. 5). Dans les causes pécuniaires - ce qui est le cas en l'occurrence (cf. arrêt 5A_184/2012 du 6 juillet 2012 consid. 1.3 et les références) -, le recours en matière civile n'est en principe recevable que si la valeur litigieuse atteint 30'000 fr. au moins ( art. 74 al. 1 let. b LTF ). Ainsi que le constate l'autorité cantonale, cette valeur est amplement atteinte en l'espèce. Le recours a par ailleurs été interjeté en temps utile ( art. 100 al. 1 LTF ) contre une décision rendue sur recours par une autorité cantonale de dernière instance ( art. 75 LTF ) par les recourants qui ont succombé dans leurs conclusions devant l'instance précédente ( art. 76 al. 1 LTF ).</w:t>
      </w:r>
    </w:p>
    <w:p>
      <w:r>
        <w:rPr>
          <w:b/>
        </w:rPr>
        <w:t>E. 2.1</w:t>
      </w:r>
    </w:p>
    <w:p>
      <w:r>
        <w:t>La décision qui ordonne l'administration d'office d'une succession porte sur des mesures provisionnelles au sens de l' art. 98 LTF (cf. ATF 94 II 55 consid. 2; arrêts 5A_599/2016 du 21 novembre 2016 consid. 2; 5A_257/2009 du 26 novembre 2009 consid. 1.4, et la jurisprudence citée dans ces arrêts), de telle sorte que la partie recourante ne peut se plaindre que d'une violation de ses droits constitutionnels. Que la compétence de l'autorité ayant statué soit également litigieuse au regard du droit international privé - en l'occurrence de l' art. 89 LDIP - est sans incidence sur la cognition avec laquelle le Tribunal fédéral examine le recours, les règles de compétence n'échappant pas à l' art. 98 LTF (arrêts 5A_171/2010 du 19 avril 2010 consid. 2.1; 5A_95/2008 du 20 août 2008 consid. 1.4; 5A_552/2008 du 27 janvier 2009 consid. 2).</w:t>
      </w:r>
    </w:p>
    <w:p>
      <w:r>
        <w:rPr>
          <w:b/>
        </w:rPr>
        <w:t>E. 2.2</w:t>
      </w:r>
    </w:p>
    <w:p>
      <w:r>
        <w:t>Le Tribunal fédéral n'examine les griefs de violation des droits constitutionnels que s'ils ont été invoqués et motivés par le recourant (" principe d'allégation "; art. 106 al. 2 LTF ), c'est-à-dire s'ils ont été expressément soulevés et exposés de manière claire et détaillée ( ATF 146 IV 114 consid. 2.1; 144 II 313 consid. 5.1). Le recourant ne peut donc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144 III 145 consid. 2).</w:t>
      </w:r>
    </w:p>
    <w:p>
      <w:r>
        <w:rPr>
          <w:b/>
        </w:rPr>
        <w:t>E. 3</w:t>
      </w:r>
    </w:p>
    <w:p>
      <w:r>
        <w:t>Les recourants se plaignent d'abord d'une " application arbitraire de l' art. 89 LDIP ".</w:t>
      </w:r>
    </w:p>
    <w:p>
      <w:r>
        <w:rPr>
          <w:b/>
        </w:rPr>
        <w:t>E. 3.1</w:t>
      </w:r>
    </w:p>
    <w:p>
      <w:r>
        <w:t>Dans la mesure où ils soutiennent en substance que le Juge unique a confirmé de façon insoutenable et choquante l'administration d'office de biens immobiliers qui étaient " sortis de la masse successorale " et ne faisaient plus " partie de la propriété en mains communes des héritiers ", leur critique se recoupe avec le grief tiré de la violation arbitraire de l' art. 554 CC et sera examinée ci-après (infra, consid. 4).</w:t>
      </w:r>
    </w:p>
    <w:p>
      <w:r>
        <w:rPr>
          <w:b/>
        </w:rPr>
        <w:t>E. 3.2</w:t>
      </w:r>
    </w:p>
    <w:p>
      <w:r>
        <w:t>Les recourants prétendent par ailleurs que, le caractère tardif de la requête tendant à l'administration d'office de la succession étant admis, l'autorité cantonale ne pouvait plus retenir sans arbitraire que les autorités suisses étaient compétentes en vertu de l' art. 89 LDIP pour ordonner la mesure sollicitée. Ils affirment que " la condition de l'urgence [...] correspond à l'essence même d'un prononcé de mesures provisionnelles ".</w:t>
      </w:r>
    </w:p>
    <w:p>
      <w:r>
        <w:rPr>
          <w:b/>
        </w:rPr>
        <w:t>E. 3.2.1</w:t>
      </w:r>
    </w:p>
    <w:p>
      <w:r>
        <w:t>Se référant à l'arrêt non publié 5A_892/2011 du 21 juin 2012 consid. 5.1.1 et faisant sien l'avis d'une partie de la doctrine (SCHNYDER-LIATOWITSCH, Commentaire bâlois, 2013, no 3 ad art. 89 LDIP ; KÜNZLE, Commentaire zurichois, 2018, no 10 ad art. 89 LDIP ; KARRER/ VOGT/LEU, Commentaire bâlois, no 17 ad rem. prélim. aux art. 551-559 CC ; MEIER/REYMOND-ENIAVEA, Commentaire romand, 2016, no 30 ad art. 551 CC ; BÜRGI, Internationales Erbrecht, Schweiz, 2017, p. 140, no 656), le Juge unique a considéré que l'administration d'office de la succession tombe sous le coup de l' art. 89 LDIP puisqu'elle vise un but de gestion conservatoire du patrimoine du défunt dans son état et sa valeur, but qui conditionne et limite d'ailleurs les pouvoirs de l'administrateur d'office auquel il appartient seulement de rendre la masse successorale sans perte de substance et dans l'état le meilleur possible aux ayants droits à la fin de son mandat.</w:t>
      </w:r>
    </w:p>
    <w:p>
      <w:r>
        <w:t>Cela étant, il a jugé que, si l'administration d'office de la succession avait été sollicitée tardivement dans la présente cause, cette circonstance ne privait pas la mesure sollicitée de son caractère conservatoire. Le cas d'espèce était à distinguer de celui traité dans l'arrêt 5A_892/2011 cité par les recourants, dès lors que la mesure requise tendait à sauvegarder des biens existant au moment du décès, soit à éviter qu'ils ne disparaissent et à assurer qu'ils soient entretenus et que des revenus en soient retirés, la mission d'un administrateur officiel s'épuisant d'ailleurs dans ce but et limitant ses pouvoirs.</w:t>
      </w:r>
    </w:p>
    <w:p>
      <w:r>
        <w:t>Selon l'autorité cantonale, le fait que les appelants n'aient pas aliéné les biens litigieux à des tiers entre le décès et la date de la requête ne signifiait pas l'absence de risque d'une telle démarche. Alors même que l'administration d'office avait été ordonnée le 4 mai 2017 par la Juge de commune, A.________ avait cédé (par donation) la propriété de ces biens à B.________, sans en informer l'administrateur officiel ou les autres personnes ou autorités intéressées. Ce manque de transparence laissait craindre que les appelants n'adoptent pas une attitude préservant les intérêts de C.________ dans l'attente de la résolution du litige. Le conflit marqué entre les parties - les appelants reprochant à l'appelé d'avoir manipulé leur époux et père et d'avoir profité de son état dans un but d'enrichissement - montrait aussi la nécessité de priver les appelants des pouvoirs dont ils auraient joui en l'absence d'administration d'office. Ces derniers n'avaient pas apporté d'éléments probants sur leur attachement à l'immeuble situé sur la commune de W.________. Au demeurant, il ne pouvait être exclu qu'ils s'en accaparent les produits ou n'en perçoivent pas.</w:t>
      </w:r>
    </w:p>
    <w:p>
      <w:r>
        <w:t>Le Juge unique a encore relevé qu'une administration d'office devrait certes être requise et prononcée le plus rapidement possible. Le fait que C.________ avait tardé à requérir une telle mesure aurait été susceptible de mettre en danger ses potentiels droits, mais ne pouvait conduire à écarter d'emblée une telle requête.</w:t>
      </w:r>
    </w:p>
    <w:p>
      <w:r>
        <w:rPr>
          <w:b/>
        </w:rPr>
        <w:t>E. 3.2.2</w:t>
      </w:r>
    </w:p>
    <w:p>
      <w:r>
        <w:t>Les recourants se contentent d'opposer à ces considérations que les mesures provisionnelles au sens de l' art. 89 LDIP ne peuvent avoir qu'une fonction conservatoire, que, selon l'arrêt 5A_892/2011, une mesure sollicitée quinze mois après le décès tend plutôt à assurer la correcte et entière dévolution des biens et qu'en l'espèce, après avoir admis le caractère tardif de la requête y relative, le Juge unique ne pouvait ordonner l'administration d'office, sans violer l'interdiction de l'arbitraire. Ce faisant, ils ne s'en prennent pas, conformément aux exigences (supra, consid. 2.2), aux motifs selon lesquels le fait que l'administration d'office avait été requise tardivement ne privait précisément pas la mesure de son caractère conservatoire et que la présente cause se distinguait du cas jugé dans l'arrêt 5A_892/2011, ni d'ailleurs aux autres éléments de la motivation du Juge unique (notamment le risque d'une aliénation des biens concernés, le manque de transparence, le conflit marqué entre les parties et le défaut d'attachement à l'immeuble des appelants).</w:t>
      </w:r>
    </w:p>
    <w:p>
      <w:r>
        <w:rPr>
          <w:b/>
        </w:rPr>
        <w:t>E. 4</w:t>
      </w:r>
    </w:p>
    <w:p>
      <w:r>
        <w:t>Selon les recourants, le Juge unique serait, en bref, tombé dans l'arbitraire en ordonnant l'administration d'office de biens immobiliers qui avaient fait l'objet d'un transfert successoral en date du 10 juin 2014 et, partant, étaient " donc sortis " de la masse successorale lors du dépôt de la requête.</w:t>
      </w:r>
    </w:p>
    <w:p>
      <w:r>
        <w:rPr>
          <w:b/>
        </w:rPr>
        <w:t>E. 4.1</w:t>
      </w:r>
    </w:p>
    <w:p>
      <w:r>
        <w:t>Sur ce point, l'autorité cantonale a jugé que l'inscription des appelants en qualité de propriétaire et usufruitière était intervenue ensuite d'un acte de dévolution, reposant sur un certificat d'hérédité émis par un notaire belge. Un tel certificat - dont on ne trouvait pas de définition dans le droit belge, mais qui était mentionné dans quelques dispositions, notamment l'article 1240bis du Code civil (traitant de la libération du débiteur du défunt) - ne statuait pas définitivement sur la qualité d'héritier (cf. DELNOY, Les libéralités et les successions, Précis de droit civil, 2013, p. 244), à l'instar du certificat d'héritier délivré en droit suisse. Au demeurant, le caractère reconnaissable du certificat en cause n'était pas évident puisqu'il n'avait pas été établi par le pays du dernier domicile du défunt (cf. art. 96 al. 1 LDIP ) et que, partant, l'immeuble concerné ne pouvait être considéré comme ayant été valablement et définitivement acquis par les appelants. Par ailleurs, vu la nature du bien concerné, il était tout à fait aisé de l'isoler du patrimoine des intéressés.</w:t>
      </w:r>
    </w:p>
    <w:p>
      <w:r>
        <w:rPr>
          <w:b/>
        </w:rPr>
        <w:t>E. 4.2</w:t>
      </w:r>
    </w:p>
    <w:p>
      <w:r>
        <w:t>Les recourants déclarent " conteste[r] fermement cette motivation insoutenable et choquante à maints égards ". Ils affirment que le Juge unique s'est prononcé " sans aucun fondement, de surcroît alors qu'[il] n'en [était] aucunement compétent, sur la validité ainsi que sur les effets du certificat d'hérédité délivré par un notaire belge ", qu'une telle question ne lui a en effet pas été soumise, qu'il ne lui appartenait dès lors pas " d'interpréter cet acte ", et qu' "en tout état ", " la propriété a été valablement transférée et acquise par M. A.________ le 10 juin 2014, puis dans un second temps, par Mme B.________ ". Ils précisent par ailleurs, " à toutes fins utiles ", que la référence du Juge unique à l'arrêt 5A_754/2009 ne serait pas pertinente dès lors que, " dans cet arrêt, l'inscription au Registre foncier a été faite</w:t>
      </w:r>
    </w:p>
    <w:p>
      <w:r>
        <w:t>ultérieurement au prononcé de l'administration d'office " alors qu'en l'espèce, " le transfert successoral a eu lieu</w:t>
      </w:r>
    </w:p>
    <w:p>
      <w:r>
        <w:t>près de trois ans avant le prononcé injustifié de l'administration d'office ". Ce faisant, ils se bornent à réitérer en substance les arguments avancés devant l'instance précédente, tout en laissant intactes les autres considérations du Juge unique fondées sur la doctrine (MEIER/REYMOND-ENIAVEA, op. cit., no 53 ad art. 554 CC ; BUCHER, op. cit., no 2 ad art. 89 LDIP ), selon lesquelles l'administration d'office n'est pas limitée aux biens dont l'administrateur peut immédiatement prendre possession, celui-là devant, le cas échéant, agir contre ceux qui possèdent les biens successoraux sans droit (au possessoire et au pétitoire), et selon lesquelles les mesures au sens de l' art. 89 LDIP peuvent notamment porter sur tous les biens susceptibles d'être l'objet d'une pétition d'hérédité. Appellatoire, leur critique est dès lors irrecevable (supra, consid. 2.2).</w:t>
      </w:r>
    </w:p>
    <w:p>
      <w:r>
        <w:rPr>
          <w:b/>
        </w:rPr>
        <w:t>E. 5</w:t>
      </w:r>
    </w:p>
    <w:p>
      <w:r>
        <w:t>Les recourants se plaignent encore de la violation de la garantie de la propriété ( art. 26 al. 1 Cst. ).</w:t>
      </w:r>
    </w:p>
    <w:p>
      <w:r>
        <w:t>Quoi qu'ils en pensent, ce grief est nouveau et, partant, irrecevable. 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 ATF 146 III 203 consid. 3.3.4; 143 III 290 consid. 1.1 et les références). Tous les moyens nouveaux sont ainsi exclus dans le recours en matière civile au sens de l' art. 98 LTF , que ceux-ci relèvent du fait ou du droit, sauf dans les cas où seule la motivation de la décision attaquée donne l'occasion de les soulever ( ATF 135 III 1 consid. 1.2; 134 III 524 consid. 1.3; 133 III 638 consid. 2; arrêts 5A_337/2019 du 12 août 2019 consid. 4.3; 5A_904/2018 du 20 février 2019 consid. 1.3), hypothèse qui n'est manifestement pas réalisée en l'espèce.</w:t>
      </w:r>
    </w:p>
    <w:p>
      <w:r>
        <w:t>Au demeurant, l'invocation de ce moyen ne leur serait d'aucun secours. L'application - sinon immédiate, du moins indirecte - des règles constitutionnelles aux relations entre les particuliers n'est pas exclue, s'agissant notamment de l'interprétation des clauses générales et des notions juridiques indéterminées du droit privé. La reconnaissance de cet effet "horizontal"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Les recourants ne sauraient dès lors se prévaloir directement, dans une cause à caractère international relevant du droit des successions, de la garantie constitutionnelle de la propriété ( ATF 143 I 217 et la jurisprudence citée).</w:t>
      </w:r>
    </w:p>
    <w:p>
      <w:r>
        <w:rPr>
          <w:b/>
        </w:rPr>
        <w:t>E. 6</w:t>
      </w:r>
    </w:p>
    <w:p>
      <w:r>
        <w:t>Vu ce qui précède, le recours doit être déclaré irrecevable. Les recourants, qui succombent, supporteront les frais de la procédure, solidairement entre eux ( art. 66 al. 1 et 5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