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559/2018 vom 9. Juli 2018</w:t>
      </w:r>
    </w:p>
    <w:p>
      <w:r>
        <w:t>Bundesgericht, 2018-07-09, IT</w:t>
      </w:r>
    </w:p>
    <w:p>
      <w:r>
        <w:rPr>
          <w:b/>
        </w:rPr>
        <w:t xml:space="preserve">Quelle: </w:t>
      </w:r>
      <w:r>
        <w:t>https://mcp.opencaselaw.ch/entscheid/bger_5A_559_2018</w:t>
      </w:r>
    </w:p>
    <w:p>
      <w:r>
        <w:t>FR: TF 5A 559/2018 du 9 juillet 2018</w:t>
      </w:r>
    </w:p>
    <w:p>
      <w:r>
        <w:t>IT: TF 5A 559/2018 del 9 luglio 2018</w:t>
      </w:r>
    </w:p>
    <w:p>
      <w:pPr>
        <w:pStyle w:val="Heading2"/>
      </w:pPr>
      <w:r>
        <w:t>Regeste</w:t>
      </w:r>
    </w:p>
    <w:p>
      <w:r>
        <w:t>diffida ai debitori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Nell'ambito della causa di divorzio tra A.________ e B.________, con decisione (recte: decreto cautelare) 21 febbraio 2017 il Pretore aggiunto della giurisdizione di Locarno Città ha ordinato a C.________ di trattenere con effetto immediato fr. 1'000.-- mensili dalla pigione versata a A.________ per la locazione di un appartamento e di riversarli sul conto bancario di B.________. Il Giudice di prime cure ha posto spese processuali (fr. 500.--) e ripetibili (fr. 2'000.--) a carico di A.________. Con sentenza 29 maggio 2018 la I Camera civile del Tribunale d'appello del Cantone Ticino ha respinto, nella misura della sua ricevibilità, l'appello presentato da A.________ avverso il predetto decreto cautelare. La Corte cantonale ha osservato che il passaggio in giudicato del dispositivo che pronuncia lo scioglimento del matrimonio non ha reso caduchi i contributi alimentari di fr. 1'000.-- mensili disposti dal giudice a tutela dell'unione coniugale in favore della moglie, i quali rimangono in vigore fino al passaggio in giudicato dell'intera sentenza di divorzio. L'autorità cantonale ha inoltre ricordato che al giudice chiamato a statuire sulla diffida ai debitori non compete sindacare l'adeguatezza dei contributi alimentari, ma deve attenersi per principio a quanto figura nell'ultima decisione presa dal giudice a protezione dell'unione coniugale o dal giudice del divorzio, limitandosi unicamente a verificare che il debitore possa conservare il proprio minimo esistenziale secondo il diritto esecutivo, ciò che in concreto è garantito. La Corte cantonale ha infine confermato l'ammontare di spese processuali e ripetibili di primo grado, ritenendo l'appello su questo punto irricevibile per carenza di motivazione.</w:t>
      </w:r>
    </w:p>
    <w:p>
      <w:r>
        <w:rPr>
          <w:b/>
        </w:rPr>
        <w:t>E. 2</w:t>
      </w:r>
    </w:p>
    <w:p>
      <w:r>
        <w:t>Con ricorso 30 giugno 2018 A.________ ha impugnato la sentenza cantonale dinanzi al Tribunale federale, postulando anche il conferimento dell'effetto sospensivo al gravame. Non sono state chieste determinazioni.</w:t>
      </w:r>
    </w:p>
    <w:p>
      <w:r>
        <w:rPr>
          <w:b/>
        </w:rPr>
        <w:t>E. 3</w:t>
      </w:r>
    </w:p>
    <w:p>
      <w:r>
        <w:t>La decisione impugnata è stata emanata in materia di misure cautelari, per cui il ricorrente può far valere soltanto la violazione di diritti costituzionali ( art. 98 LTF ). Nel suo gravame il ricorrente deve quindi indicare i diritti costituzionali ritenuti violati e spiegare, con un'argomentazione puntuale e precisa attinente alla decisione impugnata, in cosa consista la pretesa violazione ( art. 106 cpv. 2 LTF ; DTF 136 I 65 consid. 1.3.1; 135 III 232 consid. 1.2). Tali requisiti non sono adempiuti nella presente fattispecie: salvo accennare in modo generico ed appellatorio ad un asserito diniego di giustizia da parte dell'autorità inferiore, il ricorrente non si prevale infatti delle garanzie sgorganti dalla Costituzione.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deciso nella procedura semplificata dell' art. 108 cpv. 1 lett. b LTF . Con l'evasione del gravame, l'istanza di conferimento dell'effetto sospensivo diviene priva d'oggetto.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