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5A_559/2016 vom 1. März 2017</w:t>
      </w:r>
    </w:p>
    <w:p>
      <w:r>
        <w:t>Bundesgericht, 2017-03-01, DE</w:t>
      </w:r>
    </w:p>
    <w:p>
      <w:r>
        <w:rPr>
          <w:b/>
        </w:rPr>
        <w:t xml:space="preserve">Quelle: </w:t>
      </w:r>
      <w:r>
        <w:t>https://mcp.opencaselaw.ch/entscheid/bger_5A_559_2016</w:t>
      </w:r>
    </w:p>
    <w:p>
      <w:r>
        <w:t>FR: TF 5A_559/2016 du 1 mars 2017</w:t>
      </w:r>
    </w:p>
    <w:p>
      <w:r>
        <w:t>IT: TF 5A_559/2016 del 1 marzo 2017</w:t>
      </w:r>
    </w:p>
    <w:p>
      <w:pPr>
        <w:pStyle w:val="Heading2"/>
      </w:pPr>
      <w:r>
        <w:t>Erwägungen</w:t>
      </w:r>
    </w:p>
    <w:p>
      <w:r>
        <w:rPr>
          <w:b/>
        </w:rPr>
        <w:t>E. 1</w:t>
      </w:r>
    </w:p>
    <w:p>
      <w:r>
        <w:t>Angefochten ist ein kantonal letztinstanzlicher Endentscheid ( Art. 75 Abs. 1 und 2 BGG , Art. 90 BGG ). Dieser betrifft den Erwachsenenschutz und damit einen öffentlich-rechtlichen Entscheid, der in unmittelbarem Zusammenhang mit Zivilrecht steht (Art. 72 Abs. 2 lit. b Ziff. 6 BGG). Die Beschwerde in Zivilsachen ist grundsätzlich gegeben.</w:t>
      </w:r>
    </w:p>
    <w:p>
      <w:r>
        <w:rPr>
          <w:b/>
        </w:rPr>
        <w:t>E. 2.1</w:t>
      </w:r>
    </w:p>
    <w:p>
      <w:r>
        <w:t>Das Bundesgericht überprüft von Amtes wegen und mit freier Kognition, ob sämtliche Sachurteilsvoraussetzungen der Beschwerde in Zivilsachen erfüllt sind ( BGE 139 III 252 E. 1.1; 138 III 46 E. 1). Vorliegend stellt sich die Frage, ob der Beschwerdeführer legitimiert ist, den vorinstanzlichen Entscheid betreffend die Wirkung eines Vorsorgeauftrags seines Vaters vor Bundesgericht anzufechten.</w:t>
      </w:r>
    </w:p>
    <w:p>
      <w:r>
        <w:rPr>
          <w:b/>
        </w:rPr>
        <w:t>E. 2.2</w:t>
      </w:r>
    </w:p>
    <w:p>
      <w:r>
        <w:t>Nach Art. 76 Abs. 1 BGG ist zur Beschwerde in Zivilsachen berechtigt, wer vor der Vorinstanz am Verfahren teilgenommen hat oder keine Möglichkeit zur Teilnahme erhalten hat (lit. a), durch den angefochtenen Entscheid besonders berührt ist und ein schutzwürdiges Interesse an dessen Aufhebung oder Änderung hat (lit. b). Ein tatsächliches und aktuelles Interesse an der Aufhebung oder Änderung des angefochtenen Entscheids genügt (Klett, Basler Kommentar zum BGG, 2. Aufl. 2011, N. 4 zu Art. 76 BGG ). Gemäss revidierter, seit 1. Januar 2011 gültiger Fassung von Art. 76 BGG ist ein rechtlich geschütztes Interesse nicht mehr erforderlich (von Werdt/Güngerich, Bundesgerichtsgesetz [BGG], Seiler et al. [Hrsg.], 2. Aufl. 2015, N. 8 f. zu Art. 76 BGG ).</w:t>
      </w:r>
    </w:p>
    <w:p>
      <w:r>
        <w:rPr>
          <w:b/>
        </w:rPr>
        <w:t>E. 2.3</w:t>
      </w:r>
    </w:p>
    <w:p>
      <w:r>
        <w:t>Vor Bundesgericht wird grundsätzlich ein eigenes schutzwürdiges Interesse der beschwerdeführenden Person vorausgesetzt (Urteile 5A_729/2015 vom 17. Juni 2016 E. 2.2.2, 5A_787/2015 vom 3. März 2016 E. 1.2 und 5A_338/2015 vom 1. Juli 2015 E. 1.1). Art. 450 Abs. 2 Ziff. 2 ZGB , wonach Personen, welche der betroffenen Person nahestehen, befugt sind, gegen Entscheide der Erwachsenenschutzbehörde Beschwerde zu führen und damit die Interessen der betroffenen Person zu verfolgen (Urteil 5A_112/2015 vom 7. Dezember 2015 E. 2.5.1.1 mit Hinweisen), gilt für den kantonalen Rechtsweg. Vor Bundesgericht richtet sich die Beschwerdebefugnis hingegen einzig nach Art. 76 Abs. 1 BGG (Urteile 5A_295/2015 vom 29. Juni 2015 E. 1.2.1 und 5A_345/2015 vom 3. Juni 2015 E. 1.2.2).</w:t>
      </w:r>
    </w:p>
    <w:p>
      <w:r>
        <w:rPr>
          <w:b/>
        </w:rPr>
        <w:t>E. 2.4</w:t>
      </w:r>
    </w:p>
    <w:p>
      <w:r>
        <w:t>Der Beschwerdeführer verfolgt mit seinem letztinstanzlichen Rechtsmittel erklärtermassen das Ziel, seinem gesundheitlich schwer beeinträchtigten Vater ein stabiles, ruhiges und vertrautes Umfeld zu verschaffen: Der bisherige Beistand, Rechtsanwalt D.________, leiste dafür Gewähr. Der vom Verwaltungsgericht wieder eingesetzte zweite Ersatzbevollmächtigte Dr. I.C.________ sei hingegen in seiner Eigenschaft als Rechtsvertreter und Vertrauter der Ehefrau des Betroffenen den konkreten Umständen nach nicht geeignet, für das anzustrebende stabile Umfeld zu sorgen. Angesichts der Vorgeschichte bestehe die ernstzunehmende Gefahr, dass der Rechtsvertreter der Beschwerdegegnerin das Mandat nicht im ausschliesslichen Interesse des Betroffenen wahrnehmen könne. Ein abstrakter Interessenkonflikt genüge, um den Vorsorgeauftrag aufzuheben, zumal auch denkbar sei, dass sich Rechtsanwalt Dr. I.C.________ als Vorsorgebeauftragter gegebenenfalls mit Anträgen befassen müsste, die sein Vater, Rechtsanwalt Dr. C.C.________, in Vertretung der Ehefrau des Betroffenen gestellt habe.</w:t>
      </w:r>
    </w:p>
    <w:p>
      <w:r>
        <w:t>Der Beschwerdeführer macht somit ausschliesslich Interessen von E.A.________ geltend, nicht aber, dass der angefochtene Entscheid, wonach der Vorsorgeauftrag wirksam und der Vorsorgebeauftragte Dr. I.C.________ zur Mandatsführung geeignet sei, seine eigenen schutzwürdigen Interessen tangiere. Der Beschwerdeführer ist, wie dargelegt, nicht legitimiert, Interessen seines Vaters geltend zu machen. Auf seine Beschwerde kann daher nicht eingetreten werden.</w:t>
      </w:r>
    </w:p>
    <w:p>
      <w:r>
        <w:rPr>
          <w:b/>
        </w:rPr>
        <w:t>E. 3</w:t>
      </w:r>
    </w:p>
    <w:p>
      <w:r>
        <w:t>Bei diesem Ausgang des Verfahrens wird der Beschwerdeführer kostenpflichtig ( Art. 66 Abs. 1 BGG ). Parteientschädigungen sind keine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