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5A_558/2020 vom 3. August 2020</w:t>
      </w:r>
    </w:p>
    <w:p>
      <w:r>
        <w:t>Bundesgericht, 2020-08-03, IT</w:t>
      </w:r>
    </w:p>
    <w:p>
      <w:r>
        <w:rPr>
          <w:b/>
        </w:rPr>
        <w:t xml:space="preserve">Quelle: </w:t>
      </w:r>
      <w:r>
        <w:t>https://mcp.opencaselaw.ch/entscheid/bger_5A_558_2020</w:t>
      </w:r>
    </w:p>
    <w:p>
      <w:r>
        <w:t>FR: TF 5A_558/2020 du 3 août 2020</w:t>
      </w:r>
    </w:p>
    <w:p>
      <w:r>
        <w:t>IT: TF 5A_558/2020 del 3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(nato nel 1999) è figlio di A.________ e D.________. Egli è affetto da una grave malattia genetica (sindrome di Holt-Oram), caratterizzata da numerose patologie di diversi organi: egli presenta diverse anomalie a livello cardiaco, una pneumopatia cronica, un ritardo dello sviluppo psicomotorio e un ritardo cognitivo che, associato alla ipoacusia (riduzione dell'udito), comporta difficoltà di comunicazione.</w:t>
      </w:r>
    </w:p>
    <w:p>
      <w:r>
        <w:t>Mediante decisione 13 novembre 2019 l'Autorità regionale di protezione 3 sede di Lugano ha istituito in favore di B.________ una curatela di rappresentanza con amministrazione dei beni ( art. 394 e 395 CC ) e una curatela di cooperazione ( art. 396 CC ) per gli atti giuridici, limitando di conseguenza il suo esercizio dei diritti civili. Quale curatrice è stata nominata C.________.</w:t>
      </w:r>
    </w:p>
    <w:p>
      <w:r>
        <w:t>Con sentenza 2 giugno 2020 il Presidente della Camera di protezione del Tribunale d'appello del Cantone Ticino ha parzialmente accolto il reclamo 13 dicembre 2019 presentato da A.________ contro la predetta decisione, togliendo dai compiti assegnati alla curatrice quello di promuovere il benessere sociale di B.________. Il Presidente ha per contro confermato la scelta di nominare una persona esterna alla famiglia in qualità di curatore, considerate la situazione debitoria del padre, la forte conflittualità tra i genitori e la fragilità dell'interessato dovuta al suo stato di salute.</w:t>
      </w:r>
    </w:p>
    <w:p>
      <w:r>
        <w:rPr>
          <w:b/>
        </w:rPr>
        <w:t>E. 2</w:t>
      </w:r>
    </w:p>
    <w:p>
      <w:r>
        <w:t>Con ricorso 6 luglio 2020 A.________ ha impugnato la sentenza cantonale dinanzi al Tribunale federale, chiedendone l'annullamento.</w:t>
      </w:r>
    </w:p>
    <w:p>
      <w:r>
        <w:t>Non sono state chieste determinazioni, ma è stato richiamato l'incarto cantonale.</w:t>
      </w:r>
    </w:p>
    <w:p>
      <w:r>
        <w:rPr>
          <w:b/>
        </w:rPr>
        <w:t>E. 3.1</w:t>
      </w:r>
    </w:p>
    <w:p>
      <w:r>
        <w:t>Le persone vicine all'interessato sono legittimate a introdurre reclamo dinanzi all'autorità giudiziaria cantonale contro le decisioni dell'autorità di protezione degli adulti ( art. 450 cpv. 1 e 2 n. 2 CC ). Per contro, la legittimazione a presentare ricorso in materia civile dinanzi al Tribunale federale si determina esclusivamente secondo l' art. 76 cpv. 1 LTF (sentenze 5A_559/2016 del 1° marzo 2017 consid. 2.2 e 2.3 con rinvii; 5A_295/2015 del 29 giugno 2015 consid. 1.2.1 con rinvii; 5A_238/2015 del 16 aprile 2015 consid. 2 con rinvio), in virtù del quale ha diritto di interporre ricorso chi ha partecipato al procedimento dinanzi all'autorità inferiore o è stato privato della possibilità di farlo (lett. a) e è particolarmente toccato dalla decisione impugnata e ha un interesse degno di protezione all'annullamento o alla modifica della stessa (lett. b).</w:t>
      </w:r>
    </w:p>
    <w:p>
      <w:r>
        <w:t>L'interesse degno di protezione consiste nell'utilità pratica che l'accoglimento del rimedio di diritto porterebbe al ricorrente, evitandogli di subire un pregiudizio di natura economica, ideale, materiale o di altro genere che la decisione impugnata sarebbe altrimenti suscettibile di provocargli ( DTF 138 III 537 consid. 1.2.2 con rinvii). L'interesse degno di protezione può essere giuridico o di fatto (BERNARD CORBOZ, in Commentaire de la LTF, 2</w:t>
      </w:r>
    </w:p>
    <w:p>
      <w:r>
        <w:t>a ed. 2014, n. 33 ad art. 76 LTF ; v. anche sentenza 5A_559/2016 del 1° marzo 2017 consid. 2.2). L'interesse a ricorrere deve essere personale, nel senso che, salvo eccezioni, non è permesso agire in giudizio per far valere non il proprio interesse, bensì quello di un terzo (sentenze 5A_295/2015 del 29 giugno 2015 consid. 1.2.1; 5A_238/2015 del 16 aprile 2015 consid. 2).</w:t>
      </w:r>
    </w:p>
    <w:p>
      <w:r>
        <w:t>Il ricorrente è tenuto a dimostrare l'adempimento dei requisiti legali della sua legittimazione a ricorrere, quando essa non risulti manifestamente dalla decisione impugnata o dagli atti di causa ( DTF 138 III 537 consid. 1.2 con rinvio).</w:t>
      </w:r>
    </w:p>
    <w:p>
      <w:r>
        <w:rPr>
          <w:b/>
        </w:rPr>
        <w:t>E. 3.2</w:t>
      </w:r>
    </w:p>
    <w:p>
      <w:r>
        <w:t>In concreto il ricorrente si limita a osservare che la sua legittimazione a ricorrere sarebbe pacifica. Se l'adempimento della condizione dell' art. 76 cpv. 1 lett. a LTF è in effetti evidente, quello del presupposto dell' art. 76 cpv. 1 lett. b LTF - e meglio di un interesse</w:t>
      </w:r>
    </w:p>
    <w:p>
      <w:r>
        <w:t>personale degno di protezione, giuridico o di fatto, all'annullamento o alla modifica della decisione impugnata - non appare invece manifesto.</w:t>
      </w:r>
    </w:p>
    <w:p>
      <w:r>
        <w:t>Nel gravame all'esame, il ricorrente sostiene che l'autorità precedente non avrebbe tenuto conto dello stato di salute dell'interessato (e segnatamente delle sue difficoltà di comunicazione) e non avrebbe accertato le sue reali volontà con riferimento alla misura di protezione. In tal modo il ricorrente non fa però valere il proprio interesse, bensì quello del figlio.</w:t>
      </w:r>
    </w:p>
    <w:p>
      <w:r>
        <w:t>Un interesse personale non è nemmeno ravvisabile nella misura in cui il ricorrente, nel rimedio all'esame, ribadisce di essere la persona più adeguata per adempiere il compito di curatore. L' art. 401 cpv. 2 CC prevede che, nella designazione del curatore, l'autorità di protezione degli adulti tiene conto, per quanto possibile, dei desideri dei congiunti o di altre persone vicine all'interessato. Da tale norma, tuttavia, questi ultimi non possono trarre un proprio interesse degno di protezione (v. sentenze 5A_729/2015 del 17 giugno 2016 consid. 2.2.3; 5A_868/2015 del 18 marzo 2016 consid. 1.2).</w:t>
      </w:r>
    </w:p>
    <w:p>
      <w:r>
        <w:t>Ne segue che il ricorso deve essere dichiarato inammissibile per carenza di legittimazione ricorsuale.</w:t>
      </w:r>
    </w:p>
    <w:p>
      <w:r>
        <w:rPr>
          <w:b/>
        </w:rPr>
        <w:t>E. 4</w:t>
      </w:r>
    </w:p>
    <w:p>
      <w:r>
        <w:t>Le spese giudiziarie seguono la soccombenza ( art. 66 cpv. 1 LTF ). Non si giustifica assegnare spese ripetibili ( art. 68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