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5A_556/2013 vom 7. Oktober 2013</w:t>
      </w:r>
    </w:p>
    <w:p>
      <w:r>
        <w:t>Bundesgericht, 2013-10-07, FR</w:t>
      </w:r>
    </w:p>
    <w:p>
      <w:r>
        <w:rPr>
          <w:b/>
        </w:rPr>
        <w:t xml:space="preserve">Quelle: </w:t>
      </w:r>
      <w:r>
        <w:t>https://mcp.opencaselaw.ch/entscheid/bger_5A_556_2013</w:t>
      </w:r>
    </w:p>
    <w:p>
      <w:r>
        <w:t>FR: TF 5A_556/2013 du 7 octobre 2013</w:t>
      </w:r>
    </w:p>
    <w:p>
      <w:r>
        <w:t>IT: TF 5A_556/2013 del 7 ottobre 2013</w:t>
      </w:r>
    </w:p>
    <w:p>
      <w:pPr>
        <w:pStyle w:val="Heading2"/>
      </w:pPr>
      <w:r>
        <w:t>Erwägungen</w:t>
      </w:r>
    </w:p>
    <w:p>
      <w:r>
        <w:rPr>
          <w:b/>
        </w:rPr>
        <w:t>E. 1.1</w:t>
      </w:r>
    </w:p>
    <w:p>
      <w:r>
        <w:t>La décision querellée refuse de suspendre l'exécution d'une décision de mesures protectrices attribuant la jouissance du domicile conjugal et la garde de l'enfant à l'intimée, sous réserve du droit de visite du recourant, condamnant le recourant à verser à l'intimée une contribution d'entretien mensuelle de 40'000 fr. en faveur de celle-ci et de l'enfant, en sus de la prise en charge des frais extraordinaires de l'enfant, ainsi qu'une</w:t>
      </w:r>
    </w:p>
    <w:p>
      <w:r>
        <w:t>provisio ad litem de 40'000 fr. et à fournir des relevés bancaires, décision contre laquelle le recourant a fait appel. Il s'agit là d'une décision incidente en matière civile ( art. 72 al. 1 LTF ; ATF 137 III 475 consid. 1 et les références).</w:t>
      </w:r>
    </w:p>
    <w:p>
      <w:r>
        <w:t>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Interjeté en temps utile par une partie qui a succombé dans ses conclusions en instance cantonale, contre une décision rendue dans une contestation de nature non pécuniaire dans son ensemble (arrêt 5A_13/2013 du 11 février 2013 consid. 1 et les références), le recours est également recevable au regard des art. 100 al. 1, 76, et 74 al. 1 LTF.</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t>En l'espèce, le recourant prétend que la décision lui cause un préjudice irréparable. Il ne présente en revanche aucune argumentation sur la lettre b de la norme précitée, de sorte qu'il n'y a pas lieu d'examiner cette hypothèse.</w:t>
      </w:r>
    </w:p>
    <w:p>
      <w:r>
        <w:rPr>
          <w:b/>
        </w:rPr>
        <w:t>E. 1.2.1</w:t>
      </w:r>
    </w:p>
    <w:p>
      <w:r>
        <w:t>Le "préjudice irréparable"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à moins que celui-ci ne fasse d'emblée aucun doute ( ATF 133 III 629 consid. 2.3.1).</w:t>
      </w:r>
    </w:p>
    <w:p>
      <w:r>
        <w:t>De jurisprudence constante, le fait d'être exposé au paiement d'une somme d'argent n'entraîne, en principe, aucun préjudice de cette nature ( ATF 138 III 333 consid.1.3.1 et les références), dans la mesure où l'intéressé peut s'acquitter du montant et en obtenir par la suite la restitution s'il obtient finalement gain de cause (arrêt 5D_52/2010 du 10 mai 2010 consid. 1.1.1 et les références, publié</w:t>
      </w:r>
    </w:p>
    <w:p>
      <w:r>
        <w:t>in SJ 2011 I p. 134). En revanche, le fait d'être privé de la garde d'un enfant est susceptible d'entraîner un tel préjudice puisque la garde est arrêtée pour la durée de la procédure, de sorte que, même si le recourant obtient finalement gain de cause au fond, aucune réparation ne sera possible pour la période écoulée ( ATF 137 III 475 consid. 1 et les références).</w:t>
      </w:r>
    </w:p>
    <w:p>
      <w:r>
        <w:rPr>
          <w:b/>
        </w:rPr>
        <w:t>E. 1.2.2.1</w:t>
      </w:r>
    </w:p>
    <w:p>
      <w:r>
        <w:t>En l'espèce, s'agissant du versement des contributions d'entretien et de la</w:t>
      </w:r>
    </w:p>
    <w:p>
      <w:r>
        <w:t>provisio ad litem, le recourant se borne à invoquer qu'il est en arrêt de travail jusqu'au 1</w:t>
      </w:r>
    </w:p>
    <w:p>
      <w:r>
        <w:t>er octobre 2013, qu'il doit subvenir aux besoins de ses deux filles majeures et que, ayant été contraint par son épouse à quitter la villa familiale, il supporte des frais supplémentaires de logement, de sorte que, pour payer ces montants, il devra entamer son minimum vital et sa fortune personnelle en procédant à la vente de biens qu'il ne pourra pas récupérer par la suite.</w:t>
      </w:r>
    </w:p>
    <w:p>
      <w:r>
        <w:t>Par cette argumentation, le recourant se contente de présenter son propre point de vue et de procéder à de simples affirmations, sans exposer précisément les raisons pour lesquelles l'intimée serait dans l'incapacité de le rembourser, alors que le premier juge a retenu qu'elle était copropriétaire avec lui de biens mobiliers et immobiliers, ni dans quelle mesure son minimum vital serait touché par le versement de ces montants, alors que le premier juge a retenu qu'il disposait d'une fortune de plusieurs millions en liquide dans des coffres. Partant, ses allégations quant à la nécessité d'aliéner ses biens et à l'impossibilité de récupérer les pensions versées indûment ne sont pas de nature à infirmer le principe selon lequel le versement d'une somme d'argent constitue un préjudice purement économique, irrelevant au sens de l' art. 93 al. 1 let. a LTF .</w:t>
      </w:r>
    </w:p>
    <w:p>
      <w:r>
        <w:rPr>
          <w:b/>
        </w:rPr>
        <w:t>E. 1.2.2.2</w:t>
      </w:r>
    </w:p>
    <w:p>
      <w:r>
        <w:t>S'agissant du logement conjugal, le recourant allègue qu'il est à craindre que le fait qu'il ait dû quitter la villa familiale et qu'il ait réussi à se reloger temporairement soit utilisé dans la suite de la procédure au fond comme un argument pour ne pas modifier l'attribution du logement.</w:t>
      </w:r>
    </w:p>
    <w:p>
      <w:r>
        <w:t>Appellatoire, en tant qu'elle suppose que l'autorité cantonale qui statue sur l'effet suspensif préjuge de la cause au fond, cette argumentation est irrecevable. L'est également celle par laquelle le recourant entend faire valoir le préjudice que subirait ses deux filles aînées, celles-ci n'étant pas partie à la procédure.</w:t>
      </w:r>
    </w:p>
    <w:p>
      <w:r>
        <w:rPr>
          <w:b/>
        </w:rPr>
        <w:t>E. 1.2.2.3</w:t>
      </w:r>
    </w:p>
    <w:p>
      <w:r>
        <w:t>Le recourant ne présente aucune argumentation sur le préjudice que lui ferait subir la production de relevés bancaires.</w:t>
      </w:r>
    </w:p>
    <w:p>
      <w:r>
        <w:rPr>
          <w:b/>
        </w:rPr>
        <w:t>E. 1.2.2.4</w:t>
      </w:r>
    </w:p>
    <w:p>
      <w:r>
        <w:t>Il ne peut donc être entré en matière que sur la question de la garde de l'enfant.</w:t>
      </w:r>
    </w:p>
    <w:p>
      <w:r>
        <w:rPr>
          <w:b/>
        </w:rPr>
        <w:t>E. 2.1</w:t>
      </w:r>
    </w:p>
    <w:p>
      <w:r>
        <w:t>La décision refusant l'effet suspensif, comme celle d'exécution provisoire, et celle de retrait ou d'octroi de l'effet suspensif ( ATF 137 III 475 consid. 2 et les références), est une décision de mesures provisionnelles au sens de l' art. 98 LTF , de sorte que seule la violation de droits constitutionnels peut être invoquée. Le Tribunal fédéral n'examine de tels griefs que s'ils ont été invoqués et motivés conformément au principe d'allégation ( art. 106 al. 2 LTF ), à savoir expressément soulevés et exposés de manière claire et détaillée ( ATF 136 I 65 consid. 1.3.1; 133 IV 286 consid. 1.4). Il n'entre pas en matière sur les critiques de nature appellatoire ( ATF 133 III 589 consid. 2; cf. ATF 136 I précité et 134 II 244 consid. 2.1).</w:t>
      </w:r>
    </w:p>
    <w:p>
      <w:r>
        <w:t>En particulier, le recourant qui se plaint d'arbitraire ne saurait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w:t>
      </w:r>
    </w:p>
    <w:p>
      <w:r>
        <w:t>supra consid. 2.1; ATF 133 III 585 consid. 4.1). Par ailleurs, aucun fait nouveau n'est admis, sauf dans les cas où seule la motivation de la décision attaquée donne l'occasion de les soulever ( ATF 133 III 639 consid. 2).</w:t>
      </w:r>
    </w:p>
    <w:p>
      <w:r>
        <w:t>Au vu de ce qui précède, il y a lieu de déclarer d'emblée irrecevable la partie en fait du mémoire de recours qui, d'une part, ne satisfait nullement au principe d'allégation dans la mesure où elle s'écarte des faits tels qu'arrêtés en instance cantonale, et, d'autre part, contient des faits nouveaux, notamment des références à une requête de mesures superprovisionnelles que le recourant aurait déposée le 23 juillet 2013 suite à l'évolution de la situation de son fils.</w:t>
      </w:r>
    </w:p>
    <w:p>
      <w:r>
        <w:rPr>
          <w:b/>
        </w:rPr>
        <w:t>E. 3</w:t>
      </w:r>
    </w:p>
    <w:p>
      <w:r>
        <w:t>Le recourant se plaint de la violation de l' art. 9 Cst. dans l'application de l' art. 315 al. 5 CPC , en tant que l'autorité cantonale n'a pas accordé d'effet suspensif à son appel concernant l'attribution de la garde de l'enfant à l'intimée.</w:t>
      </w:r>
    </w:p>
    <w:p>
      <w:r>
        <w:rPr>
          <w:b/>
        </w:rPr>
        <w:t>E. 3.1.1</w:t>
      </w:r>
    </w:p>
    <w:p>
      <w:r>
        <w:t>L'autorité cantonale a retenu que l'intimée s'était entièrement consacrée à la prise en charge des enfants dès 1995 et que F.________ lui-même, âgé de 17 ans et étudiant aux Etats-Unis depuis 2009, avait émis le souhait de rester sous la garde de sa mère. Elle a alors considéré que l'attribution immédiate de la garde à la mère avec un droit de visite au père ne risquait pas de faire subir un dommage irréparable au recourant. Elle a ajouté que, même si les autorités américaines, auprès desquelles F.________ avait dénoncé des violences que le recourant aurait selon lui commises sur sa personne, avaient rejeté la requête de protection déposée par cet enfant, force était de constater qu'il apparaissait dans l'intérêt de celui-ci que le jugement entre en force immédiatement.</w:t>
      </w:r>
    </w:p>
    <w:p>
      <w:r>
        <w:rPr>
          <w:b/>
        </w:rPr>
        <w:t>E. 3.1.2</w:t>
      </w:r>
    </w:p>
    <w:p>
      <w:r>
        <w:t>Le recourant soutient que l'autorité cantonale n'a pas pris en compte les troubles psychiques dont souffre l'intimée et le danger que représente pour l'enfant le fait d'être confié à celle-ci, qu'il a allégué à plusieurs reprises que le rapport du SPMi était incomplet et qu'aucun membre de la famille ne parvient à prendre contact avec l'enfant depuis que la garde a été attribuée à l'intimée, qui refuse de donner la moindre information le concernant. Il ajoute que l'avenir académique de son fils est compromis quant au choix de son université. Le recourant conclut que le refus de l'effet suspensif le prive de relations personnelles avec son enfant.</w:t>
      </w:r>
    </w:p>
    <w:p>
      <w:r>
        <w:rPr>
          <w:b/>
        </w:rPr>
        <w:t>E. 3.2.1</w:t>
      </w:r>
    </w:p>
    <w:p>
      <w:r>
        <w:t>L'appel n'a en principe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Les mesures protectrices de l'union conjugale, comme les mesures provisionnelles rendues dans une procédure de divorce, constituent des mesures provisionnelles au sens de l' art. 315 al. 4 let. b et 5 CPC ( ATF 138 III 565 consid. 4.3.1; 137 III 475 consid. 4.1 et les références).</w:t>
      </w:r>
    </w:p>
    <w:p>
      <w:r>
        <w:rPr>
          <w:b/>
        </w:rPr>
        <w:t>E. 3.2.2</w:t>
      </w:r>
    </w:p>
    <w:p>
      <w:r>
        <w:t>Selon la jurisprudence rendue en matière de procédures de mesures protectrices ou de mesures provisionnelles pour la durée de la procédure de divorce, les principes suivants sont applicables:</w:t>
      </w:r>
    </w:p>
    <w:p>
      <w:r>
        <w:t>Lorsqu'en vertu de la décision de première instance, l'enfant demeure chez le parent qui prenait principalement soin de lui avant l'introduction de la procédure (parent de référence/</w:t>
      </w:r>
    </w:p>
    <w:p>
      <w:r>
        <w:t>Bezugsperson ), l'instance d'appel doit rejeter la requête d'effet suspensif du parent sollicitant un changement de garde, des motifs sérieux devant toutefois être réservés, notamment lorsque la décision attaquée menace le bien de l'enfant et apparaît manifestement infondée ( ATF 138 III 565 consid. 4.3.2; arrêt 5A_780/2012 du 8 novembre 2012 consid. 3.3.2).</w:t>
      </w:r>
    </w:p>
    <w:p>
      <w:r>
        <w:t>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 ATF 138 III 565 consid. 4.3.2; arrêt 5A_194/2012 du 8 mai 2012 consid. 5.1.3). Le fait que la décision querellée ne paraisse pas insoutenable n'est en revanche pas suffisant pour refuser l'effet suspensif ( ATF 138 III 565 consid. 4.3.2; arrêt 5A_780/2012 du 8 novembre 2012 consid. 3.3.2 et les références).</w:t>
      </w:r>
    </w:p>
    <w:p>
      <w:r>
        <w:rPr>
          <w:b/>
        </w:rPr>
        <w:t>E. 3.3</w:t>
      </w:r>
    </w:p>
    <w:p>
      <w:r>
        <w:t>En l'espèce, par sa critique, le recourant ne démontre pas l'arbitraire de la décision attaquée, qui est conforme à la première hypothèse visée par la jurisprudence précitée, la mère exerçant la garde de fait sur l'enfant lors de la séparation des époux et étant donc son "parent de référence". S'agissant du bien de l'enfant, il présente une argumentation irrecevable, en tant qu'elle se fonde sur des faits qui ne ressortent pas de l'arrêt attaqué sans qu'il en démontre l'établissement arbitraire. En particulier, il soutient que les problèmes de santé dont souffrirait l'intimée depuis plusieurs années empêcheraient celle-ci de prendre correctement soin de son fils, mais n'explique toutefois pas comment il se fait alors qu'elle y soit manifestement parvenue auparavant, en séjournant même régulièrement seule aux Etats-Unis avec ses enfants, et qu'il ait toléré qu'elle se charge encore d'accompagner F.________ dans ce pays pour la rentrée scolaire en août 2012, juste avant qu'elle entreprenne des démarches en vue de régler la vie séparée des époux.</w:t>
      </w:r>
    </w:p>
    <w:p>
      <w:r>
        <w:t>Pour autant qu'il soit recevable, son grief de la violation de l' art. 9 Cst. doit donc être rejeté.</w:t>
      </w:r>
    </w:p>
    <w:p>
      <w:r>
        <w:rPr>
          <w:b/>
        </w:rPr>
        <w:t>E. 4</w:t>
      </w:r>
    </w:p>
    <w:p>
      <w:r>
        <w:t>En conclusion, le recours en matière civile est rejeté, dans la mesure où il est recevable, aux frais de son auteur ( art. 66 al. 1 LTF ). L'intimée n'ayant pas été invitée à déposer d'observations, aucun dépens n'est dû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