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556/2011 vom 12. Dezember 2011</w:t>
      </w:r>
    </w:p>
    <w:p>
      <w:r>
        <w:t>Bundesgericht, 2011-12-12, FR</w:t>
      </w:r>
    </w:p>
    <w:p>
      <w:r>
        <w:rPr>
          <w:b/>
        </w:rPr>
        <w:t xml:space="preserve">Quelle: </w:t>
      </w:r>
      <w:r>
        <w:t>https://mcp.opencaselaw.ch/entscheid/bger_5A_556_2011</w:t>
      </w:r>
    </w:p>
    <w:p>
      <w:r>
        <w:t>FR: TF 5A 556/2011 du 12 décembre 2011</w:t>
      </w:r>
    </w:p>
    <w:p>
      <w:r>
        <w:t>IT: TF 5A 556/2011 del 12 dicembre 2011</w:t>
      </w:r>
    </w:p>
    <w:p>
      <w:pPr>
        <w:pStyle w:val="Heading2"/>
      </w:pPr>
      <w:r>
        <w:t>Regeste</w:t>
      </w:r>
    </w:p>
    <w:p>
      <w:r>
        <w:t>divorce | Droit de la famille</w:t>
      </w:r>
    </w:p>
    <w:p>
      <w:pPr>
        <w:pStyle w:val="Heading2"/>
      </w:pPr>
      <w:r>
        <w:t>Erwägungen</w:t>
      </w:r>
    </w:p>
    <w:p>
      <w:r>
        <w:rPr>
          <w:b/>
        </w:rPr>
        <w:t>E. 1.1</w:t>
      </w:r>
    </w:p>
    <w:p>
      <w:r>
        <w:t>Le présent recours a été déposé en temps utile (art. 46 al. 1 let. b et 100 al. 1 LTF) contre une décision rendue en matière civile ( art. 72 al. 1 LTF ) par une autorité cantonale de dernière instance ayant statué sur recours ( art. 75 LTF ); la recourante a qualité pour recourir ( art. 76 al. 1 LTF ).</w:t>
      </w:r>
    </w:p>
    <w:p>
      <w:r>
        <w:rPr>
          <w:b/>
        </w:rPr>
        <w:t>E. 1.2</w:t>
      </w:r>
    </w:p>
    <w:p>
      <w:r>
        <w:t>En l'espèce - pour autant que son argumentation soit intelligible -, la recourante se plaint d'une violation de son droit à une contribution alimentaire fondée sur l' art. 125 CC ; le présent litige est donc de nature pécuniaire ( ATF 116 II 493 consid. 2b; 133 III 393 consid. 2). Vu le chef de conclusions qu'elle a formulé sur ce point devant la cour cantonale (i.e. 3'500 fr. par mois), la valeur litigieuse atteint amplement le seuil de 30'000 fr. ( art. 51 al. 4 et art. 74 al. 1 let. b LTF ), comme le mentionne l'arrêt entrepris ( art. 112 al. 1 let . d LTF) et le reconnaît expressément l'intéressée. Le recours en matière civile étant ainsi ouvert, le recours constitutionnel - dont la recevabilité ne fait par ailleurs l'objet d'aucune discussion - ne l'est pas ( art. 113 LTF ).</w:t>
      </w:r>
    </w:p>
    <w:p>
      <w:r>
        <w:rPr>
          <w:b/>
        </w:rPr>
        <w:t>E. 2.1</w:t>
      </w:r>
    </w:p>
    <w:p>
      <w:r>
        <w:t>La Cour de justice a admis la recevabilité du chef de conclusions tendant au rejet de la demande en divorce, mais a considéré qu'il était infondé, les conditions de l' art. 114 CC étant remplies (consid. 3.3). La cour cantonale a confirmé la décision du premier juge sur l'attribution de l'autorité parentale et le droit de visite (consid. 3.6.1), et a déclaré l'appel irrecevable quant au partage de la prévoyance professionnelle (consid. 3.6.3), à la liquidation du régime matrimonial (consid. 3.6.4) et au paiement d'une contribution d'entretien (consid. 4.4). En revanche, s'agissant de la pension pour l'entretien des enfants mineurs, l'autorité précédente a retenu que l'instruction conduite par le premier juge était lacunaire au sujet des revenus et de la fortune de l'intimé; partant, elle a annulé le jugement attaqué et renvoyé l'affaire en première instance pour complément d'instruction et nouvelle décision (consid. 4.5).</w:t>
      </w:r>
    </w:p>
    <w:p>
      <w:r>
        <w:rPr>
          <w:b/>
        </w:rPr>
        <w:t>E. 2.2</w:t>
      </w:r>
    </w:p>
    <w:p>
      <w:r>
        <w:t>La qualification, sous l'angle des art. 90 ss LTF , d'un jugement qui statue sur le divorce et ses effets accessoires a été examinée dans un arrêt récent, auquel il y a lieu de renvoyer ( ATF 134 III 426 ss). En bref, le Tribunal fédéral a posé les règles suivantes: en vertu du principe de l'unité du jugement de divorce, lorsque le prononcé du divorce n'est plus litigieux, une décision en matière d'effets accessoires ne peut statuer «sur un objet dont le sort est indépendant» selon l' art. 91 let. a LTF ; la décision sur les effets accessoires est finale au sens de l' art. 90 LTF lorsqu'elle tranche d'une manière définitive toutes les questions qui se posent, sans aucun renvoi en première instance; elle est préjudicielle ou incidente au sens de l' art. 93 LTF lorsque la juridiction de recours ne statue que sur une partie des effets accessoires encore litigieux et renvoie la cause en première instance pour nouveau jugement sur les autres (consid. 1.2). Ainsi, contrairement à ce qu'affirme la recourante, l'arrêt entrepris ne constitue pas une décision finale, mais tombe sous le coup de l' art. 93 al. 1 LTF (arrêts 5A_599/2008 du 9 décembre 2008 consid. 1.2; 5A_800/2008 du 12 mai 2009 consid. 1.4; 5A_48/2010 du 31 mars 2010 consid. 1.3.2). Vu le caractère qu'elle attribue à la décision attaquée, la recourante ne démontre pas en quoi celle-ci serait de nature à lui causer un préjudice irréparable au sens de l' art. 93 al. 1 let. a LTF , à savoir un préjudice de nature juridique qu'une décision finale, même favorable, ne ferait pas disparaître entièrement ( ATF 136 IV 92 consid. 4, avec la jurisprudence citée); certes, l'arrêt entrepris a pour effet de prolonger et de renchérir la procédure, mais il ne s'agit là que d'un dommage de fait ( ATF 136 IV 92 consid. 4 et les arrêts cités). Il appartiendra dès lors à la recourante de contester l'arrêt présentement querellé à l'appui d'un recours contre la décision finale, autant qu'il influe sur le contenu de celle-ci ( art. 93 al. 3 LTF ; ATF 134 III 426 consid. 1.3.1). Enfin, en concluant au renvoi de la cause à l'autorité précédente, la recourante admet implicitement que l'admission du recours n'aurait pas conduit immédiatement à une décision finale; il n'y a donc pas lieu de s'interroger sur les conditions de l' art. 93 al. 1 let. b LTF .</w:t>
      </w:r>
    </w:p>
    <w:p>
      <w:r>
        <w:rPr>
          <w:b/>
        </w:rPr>
        <w:t>E. 3</w:t>
      </w:r>
    </w:p>
    <w:p>
      <w:r>
        <w:t>Vu ce qui précède, le recours constitutionnel subsidiaire et le recours en matière civile sont irrecevables. Le procédé de la recourante étant dépourvu de chances de succès, sa requête d'assistance judiciaire doit être rejetée ( art. 64 al. 1 LTF ), ce qui implique sa condamnation aux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