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556/2009 vom 30. November 2009</w:t>
      </w:r>
    </w:p>
    <w:p>
      <w:r>
        <w:t>Bundesgericht, 2009-11-30, FR</w:t>
      </w:r>
    </w:p>
    <w:p>
      <w:r>
        <w:rPr>
          <w:b/>
        </w:rPr>
        <w:t xml:space="preserve">Quelle: </w:t>
      </w:r>
      <w:r>
        <w:t>https://mcp.opencaselaw.ch/entscheid/bger_5A_556_2009</w:t>
      </w:r>
    </w:p>
    <w:p>
      <w:r>
        <w:t>FR: TF 5A 556/2009 du 30 novembre 2009</w:t>
      </w:r>
    </w:p>
    <w:p>
      <w:r>
        <w:t>IT: TF 5A 556/2009 del 30 novembre 2009</w:t>
      </w:r>
    </w:p>
    <w:p>
      <w:pPr>
        <w:pStyle w:val="Heading2"/>
      </w:pPr>
      <w:r>
        <w:t>Regeste</w:t>
      </w:r>
    </w:p>
    <w:p>
      <w:r>
        <w:t>mainlevée d'opposition | Droit des poursuites et faillites</w:t>
      </w:r>
    </w:p>
    <w:p>
      <w:pPr>
        <w:pStyle w:val="Heading2"/>
      </w:pPr>
      <w:r>
        <w:t>Erwägungen</w:t>
      </w:r>
    </w:p>
    <w:p>
      <w:r>
        <w:rPr>
          <w:b/>
        </w:rPr>
        <w:t>E. 1</w:t>
      </w:r>
    </w:p>
    <w:p>
      <w:r>
        <w:t>Le présent recours a été interjeté en temps utile ( art. 100 al. 1 LTF ) à l'encontre d'une décision qui refuse, en dernière instance cantonale et sur recours ( art. 75 LTF ), la mainlevée provisoire de l'opposition ( art. 72 al. 2 let. a et art. 90 LTF ; ATF 134 III 115 consid. 1.1 p. 117). La valeur litigieuse minimale de 30'000 fr. est atteinte ( art. 74 al. 1 let. b LTF ; ATF 133 III 399 consid. 1.3). Enfin, la poursuivante, qui a succombé devant l'autorité précédente, a qualité pour recourir ( art. 76 al. 1 LTF ).</w:t>
      </w:r>
    </w:p>
    <w:p>
      <w:r>
        <w:rPr>
          <w:b/>
        </w:rPr>
        <w:t>E. 2</w:t>
      </w:r>
    </w:p>
    <w:p>
      <w:r>
        <w:t>En l'espèce, l'autorité précédente a retenu qu'il n'était pas possible de déterminer à la lecture de la «reconnaissance de dette» du 27 juillet 2005 quelles mensualités devaient être acquittées; cet acte mentionne uniquement que le remboursement devait être effectué «en différentes mensualités restant à déterminer entre parties». Partant, le montant en poursuite «ne paraît pas chiffré de façon précise dans ce titre ou dans un écrit annexe auquel il se rapporte». La cour cantonale a considéré que la mainlevée provisoire devait être refusée pour un second motif. Dans sa lettre du 10 mars 2006, le poursuivi a opposé à la prétention de la poursuivante le solde du décompte «acheteur-vendeur», prévu dans l'acte de vente du 2 décembre 2005, établi par une fiduciaire, qui révèle un montant de 168'459 fr. 30 en sa faveur; l'intéressé a ainsi rendu vraisemblable que sa dette est éteinte par compensation.</w:t>
      </w:r>
    </w:p>
    <w:p>
      <w:r>
        <w:rPr>
          <w:b/>
        </w:rPr>
        <w:t>E. 2.1</w:t>
      </w:r>
    </w:p>
    <w:p>
      <w:r>
        <w:t>Selon la jurisprudence, constitue une reconnaissance de dette, au sens de l' art. 82 al. 1 LP , l'acte authentique ou sous seing privé signé de la main du poursuivi - ou de son représentant -, d'où découle sa volonté de payer au poursuivant, sans réserve ni condition, une somme d'argent déterminée, ou aisément déterminable, et échue ( ATF 130 III 87 consid. 3.1 p. 88); elle peut résulter du rapprochement de plusieurs pièces, autant que les éléments nécessaires en résultent ( ATF 132 III 480 consid. 4.1 p. 481).</w:t>
      </w:r>
    </w:p>
    <w:p>
      <w:r>
        <w:rPr>
          <w:b/>
        </w:rPr>
        <w:t>E. 2.2.1</w:t>
      </w:r>
    </w:p>
    <w:p>
      <w:r>
        <w:t>D'emblée, il faut souligner que la recourante se prévaut à tort de la lettre de l'intimé du 10 mars 2006, laquelle constituerait «clairement une reconnaissance de dette per se». D'une part, il ne résulte pas des faits constatés dans la décision entreprise que l'intéressée aurait aussi invoqué ce document à l'appui de sa requête de mainlevée, ni qu'elle aurait soulevé ce moyen devant l'autorité précédente; le grief s'avère donc irrecevable, faute d'épuisement des instances cantonales ( art. 75 al. 1 LTF ; ATF 134 III 524 consid. 1.3 p. 527 et les références). D'autre part, il ressort de l'arrêt attaqué que, dans la lettre en question, l'intimé a effectivement reconnu avoir payé quatre mensualités, mais a déclaré «compenser le solde avec différentes créances contre la poursuivante»; dès lors, il ne s'agit pas d'une reconnaissance de dette «sans réserve ni condition», au sens défini ci-dessus (cf. notamment: Panchaud/Caprez, La mainlevée d'opposition, 2e éd., § 16 nos 9 et 11; STAEHELIN, in: Basler Kommentar, SchKG I, 1998, n° 38 ad art. 82 LP et les citations).</w:t>
      </w:r>
    </w:p>
    <w:p>
      <w:r>
        <w:rPr>
          <w:b/>
        </w:rPr>
        <w:t>E. 2.2.2</w:t>
      </w:r>
    </w:p>
    <w:p>
      <w:r>
        <w:t>Ce point étant précisé, l'avis de la cour cantonale ne saurait être partagé. Reproduite dans toute sa teneur, la clause litigieuse prévoit que le remboursement de la somme reconnue (553'000 fr.) doit s'effectuer «en différentes mensualités restant à déterminer, durant six ans, jusqu'à l'extinction complète de la dette». Cette dette ne produisant pas d'intérêts (cf. ch. 3 de la reconnaissance de dette du 27 juillet 2005), le montant des amortissements mensuels peut être fixé au moyen d'une simple opération arithmétique (553'000 fr. : 72 mois = 7'680 fr. 55); la somme (arrondie) obtenue correspond bien à chacun des versements que l'intimé a effectués et que documentent les pièces produites par la recourante dans sa requête de mainlevée. Le montant de la prétention déduite en poursuite apparaît ainsi aisément déterminable (cf. ATF 114 III 71 consid. 2 p. 73 et la jurisprudence citée).</w:t>
      </w:r>
    </w:p>
    <w:p>
      <w:r>
        <w:rPr>
          <w:b/>
        </w:rPr>
        <w:t>E. 2.3</w:t>
      </w:r>
    </w:p>
    <w:p>
      <w:r>
        <w:t>En présence d'une reconnaissance de dette, le juge prononce la mainlevée provisoire, à moins que le débiteur ne rende immédiatement vraisemblable sa libération ( art. 82 al. 2 LP ). La loi n'exige donc pas la preuve stricte du moyen libératoire (cf. déjà: ATF 96 I 4 consid. 2 p. 8 et la doctrine citée) - en l'occurrence la compensation -, ni même des moyens de preuve déterminés (STAEHELIN, ibidem, n° 93, au sujet de la compensation avec une créance en dommages-intérêts); en particulier, elle n'impose pas de parallélisme des formes entre les pièces produites par le poursuivant et celles sur lesquelles le poursuivi fonde son moyen tiré de la compensation (arrêt P 299/1984 du 12 juillet 1984 consid. 2, in: Rep. 1985 p. 34). Le juge de la mainlevée jouit d'un large pouvoir d'appréciation (Stücheli, Die Rechtsöffnung, thèse Zurich 2000, p. 350 et la doctrine citée), dont le Tribunal fédéral ne revoit l'exercice qu'avec retenue (parmi plusieurs: ATF 135 III 259 consid. 2.5 p. 264). En l'espèce, la créance compensante, chiffrée avec précision, ressort d'un décompte réservé par l'acte de vente du 2 décembre 2005 et établi par une fiduciaire dont l'impartialité et les compétences professionnelles ne sont pas contestées. La recourante ne critique, d'une façon motivée, ni la quotité ni l'exigibilité de cette prétention; en outre, elle ne réfute pas les motifs de la juridiction cantonale quant à son existence ( art. 42 al. 2 LTF ; cf. sur cette exigence: ATF 134 II 244 consid. 2.1 p. 245/246; MERZ, in: Basler Kommentar, BGG, n° 53 ad art. 42 LTF , avec d'autres citations), mais se livre à des développements touffus et difficilement intelligibles, dont l'examen déborde largement la cognition restreinte du juge de la mainlevée ( art. 25 ch. 2 let. a LP ; cf. à ce propos: GILLIÉRON, Commentaire de la loi fédérale sur la poursuite pour dettes et la faillite, vol. I, 1999, n° 23 ad art. 25 LP ). L'intéressée parle du reste elle-même de «contradiction apparente» et de la nécessité d'opérer une «lecture simultanée de plusieurs actes successifs», pour en conclure que, à la rigueur des textes, il existerait «deux clauses prévoyant un décompte acheteur-vendeur». Quoi qu'il en soit, son argumentation est loin de démontrer en quoi l'autorité cantonale, en admettant le moyen tiré de la compensation, aurait outrepassé la latitude que lui accorde la loi. Autant qu'on la comprend, la recourante paraît aussi remettre en cause le «droit», la «possibilité», ou encore la «faculté», pour l'intimé d'invoquer la compensation, car les parties auraient entendu lui «assurer un revenu régulier, indépendamment des autres dispositions prises sur le plan de la cession immobilière». A supposer qu'elle veuille se prévaloir d'une renonciation à la compensation ( art. 126 CO ; cf. à ce sujet: arrêt 4C.477/1994 du 23 juin 1995 consid. 5; ATF 130 III 312 consid. 5.2 in fine; 83 II 395 consid. 1 p. 398; 72 II 25 consid. 2 p. 28 et les citations mentionnées dans ces arrêts), ce moyen serait vain, faute de constatations qui permettraient d'établir la volonté des parties. Contrairement à l'opinion de la recourante, une pareille renonciation ne découle ni de la clause prévoyant que «les paiements ont lieu au domicile du créancier en Suisse» (ch. 4 de la reconnaissance de dette du 27 juillet 2005), ni du fait que l'intimé s'est acquitté de plusieurs acomptes avant d'objecter la compensation. Enfin, la clause aux termes de laquelle la reconnaissance de dette du 27 juillet 2005 «vaut reconnaissance de dette au sens de l'article 82 de la loi sur la Poursuite pour dettes et faillite» n'est d'aucun secours; les juges cantonaux n'ont pas nié l'existence d'un tel titre, mais ont retenu que l'intimé avait rendu plausible un moyen infirmant l'engagement qui y était souscrit.</w:t>
      </w:r>
    </w:p>
    <w:p>
      <w:r>
        <w:rPr>
          <w:b/>
        </w:rPr>
        <w:t>E. 3</w:t>
      </w:r>
    </w:p>
    <w:p>
      <w:r>
        <w:t>Vu ce qui précède, le recours doit être rejeté dans la mesure où il est recevable. Comme les conclusions de la recourante étaient dépourvues de chances de succès, sa requête d'assistance judiciaire doit être rejetée ( art. 64 al. 1 LTF ), ce qui implique sa condamnation aux frais de justice ( art. 66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