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553/2022 vom 27. Juli 2022</w:t>
      </w:r>
    </w:p>
    <w:p>
      <w:r>
        <w:t>Bundesgericht, 2022-07-27, DE</w:t>
      </w:r>
    </w:p>
    <w:p>
      <w:r>
        <w:rPr>
          <w:b/>
        </w:rPr>
        <w:t xml:space="preserve">Quelle: </w:t>
      </w:r>
      <w:r>
        <w:t>https://mcp.opencaselaw.ch/entscheid/bger_5A_553_2022</w:t>
      </w:r>
    </w:p>
    <w:p>
      <w:r>
        <w:t>FR: TF 5A 553/2022 du 27 juillet 2022</w:t>
      </w:r>
    </w:p>
    <w:p>
      <w:r>
        <w:t>IT: TF 5A 553/2022 del 27 luglio 2022</w:t>
      </w:r>
    </w:p>
    <w:p>
      <w:pPr>
        <w:pStyle w:val="Heading2"/>
      </w:pPr>
      <w:r>
        <w:t>Regeste</w:t>
      </w:r>
    </w:p>
    <w:p>
      <w:r>
        <w:t>Miteigentum | Sachenrecht</w:t>
      </w:r>
    </w:p>
    <w:p>
      <w:pPr>
        <w:pStyle w:val="Heading2"/>
      </w:pPr>
      <w:r>
        <w:t>Erwägungen</w:t>
      </w:r>
    </w:p>
    <w:p>
      <w:r>
        <w:rPr>
          <w:b/>
        </w:rPr>
        <w:t>E. 1</w:t>
      </w:r>
    </w:p>
    <w:p>
      <w:r>
        <w:t>Dass der gemäss Art. 74 Abs. 1 lit. b BGG für die Beschwerde in Zivilsachen erforderliche Mindeststreitwert nicht erreicht ist, sehen auch die Beschwerdeführer. Sie behaupten deshalb eine Rechtsfrage von grundsätzlicher Bedeutung im Sinn von Art. 74 Abs. 2 lit. a BGG und machen geltend, es gehe um die grundlegende Frage der Kompetenz eines Richters zur Parteibestimmung. Die Voraussetzungen von Art. 74 Abs. 2 lit. a BGG sind erfüllt, wenn ein allgemeines Interesse besteht, dass eine umstrittene Frage höchstrichterlich geklärt wird, um eine einheitliche Anwendung und Auslegung des Bundesrechts herbeizuführen und damit Rechtssicherheit herzustellen ( BGE 141 III 159 E. 1.2; 144 III 164 E. 1). Keine Rechtsfrage von grundsätzlicher Bedeutung liegt demgegenüber vor, wenn es lediglich um die Anwendung von Grundsätzen der Rechtsprechung auf einen konkreten Fall geht ( BGE 133 III 493 E. 1.2; 134 III 115 E. 1.2). Vorliegend geht es um die Frage, ob die Beschwerdeführer in der vorliegenden Konstellation kantonal den richtigen Rechts (mittel) weg eingeschlagen haben (dazu E. 3 und 4); dies ist keine Rechtsfrage von grundsätzlicher Bedeutung.</w:t>
      </w:r>
    </w:p>
    <w:p>
      <w:r>
        <w:rPr>
          <w:b/>
        </w:rPr>
        <w:t>E. 2</w:t>
      </w:r>
    </w:p>
    <w:p>
      <w:r>
        <w:t>Im Übrigen erheben die Beschwerdeführer eine subsidiäre Verfassungsbeschwerde ( Art. 113 BGG ). Mit ihr kann jedoch einzig die Verletzung verfassungsmässiger Rechte gerügt werden ( Art. 116 BGG ), wofür das strenge Rügeprinzip gilt (Art. 106 Abs. 2 i.V.m. Art. 117 BGG ).</w:t>
      </w:r>
    </w:p>
    <w:p>
      <w:r>
        <w:rPr>
          <w:b/>
        </w:rPr>
        <w:t>E. 3</w:t>
      </w:r>
    </w:p>
    <w:p>
      <w:r>
        <w:t>Das Obergericht hat befunden, es werde nicht dargelegt, was die Beschwerdeführer mit ihrem Erläuterungsgesuch anstreben würden; offenbar gehe es ihnen um die Streichung als Kläger im Rubrum, was zur Folge hätte, dass sie nicht mehr zu den kostenpflichtigen Klägern im Sinn des Dispositivs gehören würden. Hierfür hätten sie aber Kostenbeschwerde gemäss Art. 110 ZPO erheben müssen. Inwiefern sie ein Interesse an Erläuterung hätten, sei nicht ersichtlich. Aber selbst wenn auf das Gesuch eingetreten würde, wäre es abzuweisen, denn ein Widerspruch zwischen dem Dispositiv und den Erwägungen einschliesslich des Rubrums sei nicht gegeben. Das Amtsgericht habe in den Erwägungen klar festgehalten, dass es von einer gültigen Vertretung aller Kläger ausgehe, und als Folge habe es die Beschwerdeführer im Rubrum aufgeführt, was zur Folge habe, dass sie auch vom Kostenspruch erfasst seien.</w:t>
      </w:r>
    </w:p>
    <w:p>
      <w:r>
        <w:rPr>
          <w:b/>
        </w:rPr>
        <w:t>E. 4</w:t>
      </w:r>
    </w:p>
    <w:p>
      <w:r>
        <w:t>Die Ausführungen bleiben in der Sache appellatorisch und genügen damit dem Rügeprinzip nicht (vgl. E. 2). Ohnehin gehen sie an der Sache und an den Erwägungen des angefochtenen Entscheides vorbei, wenn die Beschwerdeführer geltend machen, es sei völlig klar, was sie mit der Erläuterung gewollt hätten, nämlich die Aufhebung des Widerspruches zwischen dem Dispositiv und der Begründung der Abschreibungsverfügung. Ein solcher ist nicht auszumachen und entsprechend gibt es auch nichts zu erläutern, umso weniger als in der Abschreibungsverfügung ausführlich begründet wird, wieso die Kläger im Rubrum aufgeführt werden und damit notwendigerweise auch von der Kostenauferlegung erfasst sind. Die Beschwerdeführer sind damit (zu Recht oder zu Unrecht) nicht einverstanden; sie möchten nicht im Rubrum als Kläger aufgeführt sein und sich dementsprechend auch nicht mit einer solidarischen Haftbarkeit für die Kosten konfrontiert sehen. Gegen Letzteres hätten sie aber nach den zutreffenden Erwägungen des angefochtenen Entscheides eine Kostenbeschwerde oder - soweit es ihnen nach den nunmehr gemachten Vorbringen in erster Linie ganz allgemein um ihre Klägerstellung bzw. das Rubrum gegangen sein sollte - eine Berufung erheben müssen. Dass sie hingegen eine Erläuterung verlangt und damit einen unpassenden Rechts (mittel) weg eingeschlagen haben, müssen sie sich selbst zuschreiben.</w:t>
      </w:r>
    </w:p>
    <w:p>
      <w:r>
        <w:rPr>
          <w:b/>
        </w:rPr>
        <w:t>E. 5</w:t>
      </w:r>
    </w:p>
    <w:p>
      <w:r>
        <w:t>Nach dem Gesagten ist die Beschwerde als subsidiäre Verfassungsbeschwerde entgegenzunehmen und abzuweisen, soweit überhaupt auf sie eingetreten werden kann.</w:t>
      </w:r>
    </w:p>
    <w:p>
      <w:r>
        <w:rPr>
          <w:b/>
        </w:rPr>
        <w:t>E. 6</w:t>
      </w:r>
    </w:p>
    <w:p>
      <w:r>
        <w:t>Die Gerichtskosten sind den Beschwerdeführern unter solidarischer Haftbarkeit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