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5A_552/2024 vom 2. September 2024</w:t>
      </w:r>
    </w:p>
    <w:p>
      <w:r>
        <w:t>Bundesgericht, 2024-09-02, DE</w:t>
      </w:r>
    </w:p>
    <w:p>
      <w:r>
        <w:rPr>
          <w:b/>
        </w:rPr>
        <w:t xml:space="preserve">Quelle: </w:t>
      </w:r>
      <w:r>
        <w:t>https://mcp.opencaselaw.ch/entscheid/bger_5A_552_2024</w:t>
      </w:r>
    </w:p>
    <w:p>
      <w:r>
        <w:t>FR: TF 5A_552/2024 du 2 septembre 2024</w:t>
      </w:r>
    </w:p>
    <w:p>
      <w:r>
        <w:t>IT: TF 5A_552/2024 del 2 settembre 2024</w:t>
      </w:r>
    </w:p>
    <w:p>
      <w:pPr>
        <w:pStyle w:val="Heading2"/>
      </w:pPr>
      <w:r>
        <w:t>Erwägungen</w:t>
      </w:r>
    </w:p>
    <w:p>
      <w:r>
        <w:rPr>
          <w:b/>
        </w:rPr>
        <w:t>E. 1</w:t>
      </w:r>
    </w:p>
    <w:p>
      <w:r>
        <w:t>Der Beschwerdeführer reicht seine Eingabe in französischer Sprache ein, was zulässig ist; das vorliegende Urteil ergeht indes in der Sprache des angefochtenen Entscheides und somit auf Deutsch ( Art. 54 Abs. 1 BGG ).</w:t>
      </w:r>
    </w:p>
    <w:p>
      <w:r>
        <w:rPr>
          <w:b/>
        </w:rPr>
        <w:t>E. 2</w:t>
      </w:r>
    </w:p>
    <w:p>
      <w:r>
        <w:t>Die Vorinstanz ist auf das Rechtsmittel des Beschwerdeführers nicht eingetreten. Möglicher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Der Beschwerdeführer setzt sich nicht mit den Nichteintretenserwägungen des angefochtenen Entscheides auseinander, sondern er wünscht abstrakt eine "répartition des avantages conjugaux", eine "répartition des biens", eine "répartition des cadeaux" und eine Regelung der "dettes et responsabilités financières". Wie bereits vor Obergericht lässt er aber konkretisierende Ausführungen vermissen.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