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5A_552/2010 vom 23. Februar 2011</w:t>
      </w:r>
    </w:p>
    <w:p>
      <w:r>
        <w:t>Bundesgericht, 2011-02-23, DE</w:t>
      </w:r>
    </w:p>
    <w:p>
      <w:r>
        <w:rPr>
          <w:b/>
        </w:rPr>
        <w:t xml:space="preserve">Quelle: </w:t>
      </w:r>
      <w:r>
        <w:t>https://mcp.opencaselaw.ch/entscheid/bger_5A_552_2010</w:t>
      </w:r>
    </w:p>
    <w:p>
      <w:r>
        <w:t>FR: TF 5A_552/2010 du 23 février 2011</w:t>
      </w:r>
    </w:p>
    <w:p>
      <w:r>
        <w:t>IT: TF 5A_552/2010 del 23 febbraio 2011</w:t>
      </w:r>
    </w:p>
    <w:p>
      <w:pPr>
        <w:pStyle w:val="Heading2"/>
      </w:pPr>
      <w:r>
        <w:t>Erwägungen</w:t>
      </w:r>
    </w:p>
    <w:p>
      <w:r>
        <w:rPr>
          <w:b/>
        </w:rPr>
        <w:t>E. 1.1</w:t>
      </w:r>
    </w:p>
    <w:p>
      <w:r>
        <w:t>Angefochten ist ein kantonal letztinstanzlicher Endentscheid in einer nicht vermögensrechtlichen Zivilsache ( Art. 72 Abs. 1, Art. 75 Abs. 1 und Art. 90 BGG ). Die Beschwerde in Zivilsachen steht somit offen.</w:t>
      </w:r>
    </w:p>
    <w:p>
      <w:r>
        <w:rPr>
          <w:b/>
        </w:rPr>
        <w:t>E. 1.2</w:t>
      </w:r>
    </w:p>
    <w:p>
      <w:r>
        <w:t>Weil Eheschutzentscheide vorsorgliche Massnahmen im Sinn von Art. 98 BGG darstellen ( BGE 133 III 393 E. 5.1 und 5.2 S. 396 f.), kann einzig die Verletzung verfassungsmässiger Rechte gerügt werden.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Rechtslage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1.3</w:t>
      </w:r>
    </w:p>
    <w:p>
      <w:r>
        <w:t>Beide Parteien legen neue Dokumente vor. Gemäss Art. 99 Abs. 1 BGG dürfen neue Tatsachen und Beweismittel nur soweit vorgebracht werden, als erst der Entscheid der Vorinstanz dazu Anlass gibt. In der Beschwerde ist darzutun, inwiefern die erwähnte Voraussetzung für eine nachträgliche Einreichung von Beweismitteln erfüllt sein soll ( BGE 133 III 393 E. 3 S. 395). Die vom Beschwerdeführer hier vorgetragene blosse Behauptung, erst der angefochtene Entscheid habe Anlass zur Nachreichung von Dokumenten gegeben, ist unzureichend. Die neu ins Recht gelegten Schriftstücke sind daher unbeachtlich.</w:t>
      </w:r>
    </w:p>
    <w:p>
      <w:r>
        <w:rPr>
          <w:b/>
        </w:rPr>
        <w:t>E. 2</w:t>
      </w:r>
    </w:p>
    <w:p>
      <w:r>
        <w:t>Der Beschwerdeführer rügt Willkür in der Sachverhaltsfeststellung ( Art. 9 BV ) und eine Verletzung des rechtlichen Gehörs ( Art. 29 Abs. 2 BV ). Er habe die Erziehungsfähigkeit der Beschwerdegegnerin vor beiden kantonalen Instanzen bestritten und einen Antrag auf Einholung eines Gutachtens gestellt, aber das Obergericht habe die Frage der Erziehungsfähigkeit überhaupt nicht angeschnitten und sei auf seine Einwendungen nicht eingegangen.</w:t>
      </w:r>
    </w:p>
    <w:p>
      <w:r>
        <w:rPr>
          <w:b/>
        </w:rPr>
        <w:t>E. 2.1</w:t>
      </w:r>
    </w:p>
    <w:p>
      <w:r>
        <w:t>Das mit der "Regelung des Getrenntlebens" (Marginalie zu Art. 176 ZGB ) befasste Eheschutzgericht trifft nach den Bestimmungen über die Wirkungen des Kindesverhältnisses die nötigen Massnahmen, wenn die Ehegatten unmündige Kinder haben ( Art. 176 Abs. 3 ZGB ). Für die Zuteilung der Obhut an einen Elternteil gelten grundsätzlich die gleichen Kriterien wie im Scheidungsfall. Nach der Rechtsprechung hat das Wohl des Kindes Vorrang vor allen anderen Überlegungen, insbesondere vor den Wünschen der Eltern. Vorab muss deren Erziehungsfähigkeit geklärt werden. Ist sie bei beiden Elternteilen gegeben, sind vor allem Kleinkinder und grundschulpflichtige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Schliesslich ist - je nach Alter der Kinder - ihrem eindeutigen Wunsch Rechnung zu tragen. Diesen Kriterien lassen sich die weiteren Gesichtspunkte zuordnen, so die Bereitschaft eines Elternteils, mit dem anderen in Kinderbelangen zusammenzuarbeiten, oder die Forderung, dass eine Zuteilung der Obhut von einer persönlichen Bindung und echter Zuneigung getragen sein sollte (vgl. BGE 115 II 206 E. 4a S. 209; 115 II 317 E. 2 und 3 S. 319 ff.; 117 II 353 E. 3 S. 354 f. ; 136 I 178 E. 5.3 S. 180 f.).</w:t>
      </w:r>
    </w:p>
    <w:p>
      <w:r>
        <w:t>Bei der Beurteilung der für die Obhutszuteilung massgebenden Kriterien verfügt das Sachgericht über grosses Ermessen (vgl. alle soeben zitierten Urteile). Auf Willkürbeschwerde hin kann das Bundesgericht deshalb nur eingreifen, wenn das Sachgericht grundlos von in Lehre und Rechtsprechung anerkannten Grundsätzen abgewichen ist, wenn es Gesichtspunkte berücksichtigt hat, die keine Rolle hätten spielen dürfen, oder wenn es umgekehrt rechtserhebliche Umstände ausser Acht gelassen hat. Der Ermessensentscheid muss sich als im Ergebnis offensichtlich unbillig, als in stossender Weise ungerecht erweisen (BGE 109 la 107 E. 2c S. 109; 128 III 4 E. 4b S. 6 f.; 132 III 97 E. 1 S. 99).</w:t>
      </w:r>
    </w:p>
    <w:p>
      <w:r>
        <w:rPr>
          <w:b/>
        </w:rPr>
        <w:t>E. 2.2</w:t>
      </w:r>
    </w:p>
    <w:p>
      <w:r>
        <w:t>Mit Bezug auf die Frage der Erziehungsfähigkeit hat sich das Obergericht mit der Wiedergabe der Schlussfolgerungen der Eheschutzrichterin begnügt, die die Erziehungsfähigkeit für beide Elternteile als gegeben erachtet hat. Es hat sich weder zu den diesbezüglichen Einwendungen des Beschwerdeführers noch zu seinem Antrag auf Begutachtung geäussert und auch keine eigenen Feststellungen getroffen. In diesem Sinne trifft der Vorwurf des Beschwerdeführers zu.</w:t>
      </w:r>
    </w:p>
    <w:p>
      <w:r>
        <w:t>Dagegen wendet die Beschwerdegegnerin ein, die Parteien hätten sich am 4. Juni 2009 im Rahmen des erstinstanzlichen Massnahmeverfahrens über die Obhutszuteilung geeinigt. Dies ist nur teilweise richtig. Mit der fraglichen Vereinbarung haben die Parteien die Obhut lediglich für die Dauer des Massnahmeverfahrens geregelt, sich aber nicht allgemein über die Obhutszuteilung geeinigt. Zudem ist zu beachten, dass der Beschwerdeführer seine Einwendungen gegen die Erziehungsfähigkeit der Mutter auch danach aufrechterhalten und im Rechtsmittelverfahren wiederholt hat. Folglich kann nicht gesagt werden, der Beschwerdeführer habe die Erziehungsfähigkeit der Beschwerdegegnerin anerkannt.</w:t>
      </w:r>
    </w:p>
    <w:p>
      <w:r>
        <w:t>Mithin hat das Obergericht einen Entscheid gefällt, ohne alle rechtserheblichen Umstände abgeklärt zu haben, und ist damit in Willkür verfallen. Insofern erweist sich die Beschwerde als begründet.</w:t>
      </w:r>
    </w:p>
    <w:p>
      <w:r>
        <w:rPr>
          <w:b/>
        </w:rPr>
        <w:t>E. 3</w:t>
      </w:r>
    </w:p>
    <w:p>
      <w:r>
        <w:t>Nach dem Gesagten ist der angefochtene Entscheid aufzuheben und zur Ergänzung des Beweisverfahrens und neuem Entscheid an das Obergericht zurückzuweisen. Da die Festlegung der Unterhaltsleistungen von der Obhutszuteilung abhängt, kann auf die diesbezüglichen Rügen nicht eingetreten werden. Von der Aufhebung des angefochtenen Entscheids ist auch dessen Kostenregelung betroffen, so dass der Antrag auf Änderung derselben gegenstandslos wird.</w:t>
      </w:r>
    </w:p>
    <w:p>
      <w:r>
        <w:t>Da der Ausgang des Verfahrens noch offen ist, werden der einschlägigen Praxis entsprechend die Gerichtskosten beiden Parteien zur Hälfte auferlegt und die Parteientschädigungen wettgeschlagen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