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5A_551/2018 vom 9. Juli 2018</w:t>
      </w:r>
    </w:p>
    <w:p>
      <w:r>
        <w:t>Bundesgericht, 2018-07-09, FR</w:t>
      </w:r>
    </w:p>
    <w:p>
      <w:r>
        <w:rPr>
          <w:b/>
        </w:rPr>
        <w:t xml:space="preserve">Quelle: </w:t>
      </w:r>
      <w:r>
        <w:t>https://mcp.opencaselaw.ch/entscheid/bger_5A_551_2018</w:t>
      </w:r>
    </w:p>
    <w:p>
      <w:r>
        <w:t>FR: TF 5A_551/2018 du 9 juillet 2018</w:t>
      </w:r>
    </w:p>
    <w:p>
      <w:r>
        <w:t>IT: TF 5A_551/2018 del 9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7 juin 2018, la Chambre des poursuites et faillites du Tribunal cantonal de l'État de Fribourg a déclaré irrecevables, au motif qu'elles constituent un abus de droit au regard de l' art. 73 LP , les deux plaintes formées le 15 janvier 2017 par A.________ dans le cadre des poursuites nos xxxxxxx et yyyyyyy.</w:t>
      </w:r>
    </w:p>
    <w:p>
      <w:r>
        <w:rPr>
          <w:b/>
        </w:rPr>
        <w:t>E. 2</w:t>
      </w:r>
    </w:p>
    <w:p>
      <w:r>
        <w:t>Par acte du 29 juin 2018, A.________ exerce un recours en matière civile au Tribunal fédéral, sollicitant le bénéfice de l'assistance judiciaire pour la procédure fédérale, ainsi que six autres mesures provisionnelles urgentes ( nos 1 et 3 à 7), dont l'effet suspensif à son recours.</w:t>
      </w:r>
    </w:p>
    <w:p>
      <w:r>
        <w:t>Dans son mémoire, le recourant discute de la validité des requêtes de mainlevée, des bases légales permettant à l'État de Fribourg de percevoir une contribution, de la validité de la délégation administrative à des secrétaires, et du signalement effectué par la Présidente de la Chambre des poursuites et faillites à la Justice de paix, en se référant à diverses normes fédérales (CPC, LP) et cantonales. Ce faisant, le recourant ne s'en prend nullement à la motivation de l'autorité cantonale relative à l'abus de droit, dont il ne tient nul compte,</w:t>
      </w:r>
    </w:p>
    <w:p>
      <w:r>
        <w:t>a fortiori ne soulève aucun grief tendant à démontrer que la motivation de l'arrêt déféré serait contraire au droit ou à la Constitution, de sorte que son recours ne correspond pas aux exigences minimales de motivation des art. 42 al. 2 et 106 al. 2 LTF et doit en conséquence être déclaré irrecevable.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b et c LTF. L'issue du recours rend sans objet les six requêtes de mesures provisionnelles urgentes nos 1 et 3 à 7, dont la demande d'effet suspensif.</w:t>
      </w:r>
    </w:p>
    <w:p>
      <w:r>
        <w:rPr>
          <w:b/>
        </w:rPr>
        <w:t>E. 3</w:t>
      </w:r>
    </w:p>
    <w:p>
      <w:r>
        <w:t>Faute de chances de succès du recours, la requête d'assistance judiciaire pour la procédure fédérale déposée par le recourant (mesure provisionnelle urgente n° 2) ne saurait être agréée ( art. 64 al. 1 LTF ). Les frais judiciaires, arrêtés à 1'000 fr., sont mis à la charge du recourant qui succombe, en application de l' art. 66 al. 1 LTF .</w:t>
      </w:r>
    </w:p>
    <w:p>
      <w:r>
        <w:t>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