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5A_551/2011 vom 9. November 2011</w:t>
      </w:r>
    </w:p>
    <w:p>
      <w:r>
        <w:t>Bundesgericht, 2011-11-09, FR</w:t>
      </w:r>
    </w:p>
    <w:p>
      <w:r>
        <w:rPr>
          <w:b/>
        </w:rPr>
        <w:t xml:space="preserve">Quelle: </w:t>
      </w:r>
      <w:r>
        <w:t>https://mcp.opencaselaw.ch/entscheid/bger_5A_551_2011</w:t>
      </w:r>
    </w:p>
    <w:p>
      <w:r>
        <w:t>FR: TF 5A_551/2011 du 9 novembre 2011</w:t>
      </w:r>
    </w:p>
    <w:p>
      <w:r>
        <w:t>IT: TF 5A_551/2011 del 9 novembre 2011</w:t>
      </w:r>
    </w:p>
    <w:p>
      <w:pPr>
        <w:pStyle w:val="Heading2"/>
      </w:pPr>
      <w:r>
        <w:t>Erwägungen</w:t>
      </w:r>
    </w:p>
    <w:p>
      <w:r>
        <w:rPr>
          <w:b/>
        </w:rPr>
        <w:t>E. 1.1</w:t>
      </w:r>
    </w:p>
    <w:p>
      <w:r>
        <w:t>Interjeté dans le délai (art. 46 al. 1 let. b et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1.2</w:t>
      </w:r>
    </w:p>
    <w:p>
      <w:r>
        <w:t>Le recours en matière civile peut être interjeté pour violation du droit, tel qu'il est délimité par les art. 95 et 96 LTF . Le Tribunal fédéral applique ce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134 III 102 consid. 1.1).</w:t>
      </w:r>
    </w:p>
    <w:p>
      <w:r>
        <w:rPr>
          <w:b/>
        </w:rPr>
        <w:t>E. 1.3</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 Le recourant qui entend s'écarter des constatations de fait de l'autorité précédente doit expliquer de manière circonstanciée en quoi les conditions d'une exception prévue par l' art. 105 al. 2 LTF sont réalisées,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134 V 53 consid. 4.3; 129 I 8 consid. 2.1). Pour le surplus, le Tribunal fédéral n'entre pas en matière sur des critiques de type appellatoire portant sur l'état de fait ou sur l'appréciation des preuves ( ATF 136 II 101 consid. 3 et les arrêts cités).</w:t>
      </w:r>
    </w:p>
    <w:p>
      <w:r>
        <w:rPr>
          <w:b/>
        </w:rPr>
        <w:t>E. 2</w:t>
      </w:r>
    </w:p>
    <w:p>
      <w:r>
        <w:t>Les dispositions dont la recourante invoque la violation, et qui s'appliquent à la poursuite en réalisation de gage en vertu des art. 155 al. 1 et 156 al. 1 LP, prescrivent à l'office des poursuites de faire l'estimation des biens qu'il saisit, faculté lui étant accordée de s'adjoindre des experts à cet effet ( art. 97 al. 1 LP ), d'adjuger l'objet à réaliser après trois criées au plus offrant, à condition que l'offre soit supérieure à la somme des créances garanties par gage préférables à celle du poursuivant ( art. 126 al. 1 LP ) et de ne pas adjuger les objets en métaux précieux à un prix inférieur à la valeur du métal ( art. 128 LP ).</w:t>
      </w:r>
    </w:p>
    <w:p>
      <w:r>
        <w:rPr>
          <w:b/>
        </w:rPr>
        <w:t>E. 2.1</w:t>
      </w:r>
    </w:p>
    <w:p>
      <w:r>
        <w:t>La recourante ne conteste pas une mise à prix de 1'500 fr. par statue, soit le montant en deçà duquel les offres ne pourraient être acceptées. Elle soutient cependant que la valeur d'estimation à communiquer au tiers viole les art. 97 et 128 LP , car l'office aurait dû retenir une valeur d'estimation au prix du métal, le texte de l' art. 128 LP contenant une clause générique de "métaux précieux" qui n'autoriserait pas à limiter le champ d'application de la norme aux seules matières de l'or, de l'argent ou même du platine. L'autorité cantonale de surveillance n'aurait donc pas dû ratifier l'estimation de l'office à 1'500 fr. par statue, mais ordonner une nouvelle expertise afin de déterminer la valeur du métal des statues ou bien arrêter cette valeur en se fondant sur l'expertise qui faisait état de 25'000 USD par statue.</w:t>
      </w:r>
    </w:p>
    <w:p>
      <w:r>
        <w:t>L' art. 128 LP s'applique à tous les métaux précieux, par quoi on entend, en droit fédéral, l'or, l'argent, le platine et le palladium (art. 1er al. 1 de la loi fédérale sur le contrôle du commerce des métaux précieux et des ouvrages en métaux précieux; RS 941.31). Il vise aussi bien des objets ouvrés (bijoux, montres, monnaies n'ayant plus cours, médailles) que des objets manufacturés (lingots, barres), mais non pas, en revanche, les métaux rares ayant une grande valeur ou les "autres objets de prix" (cf. art. 98 al. 1 LP ), tels que oeuvres d'art ou antiquités (P.-R. GILLIÉRON, Commentaire de la loi fédérale sur la poursuite pour dettes et la faillite, n. 9 s. ad art. 128 LP ; SÉBASTIEN BETTSCHART, in Commentaire romand de la LP, n. 2 ad art. 128 LP ; MAGDALENA RUTZ/JÜRG ROTH, in Basler Kommentar, Bundesgesetzt über Schuldbetreibung und Konkurs I, 2e éd., n. 2 ad art. 128 LP ).</w:t>
      </w:r>
    </w:p>
    <w:p>
      <w:r>
        <w:t>Les trois statues litigieuses étant en bronze, qui est un alliage de cuivre et d'étain ne constituant pas un métal précieux en l'état de la législation, c'est à bon droit que l'autorité cantonale a considéré que l' art. 128 LP n'était pas applicable.</w:t>
      </w:r>
    </w:p>
    <w:p>
      <w:r>
        <w:rPr>
          <w:b/>
        </w:rPr>
        <w:t>E. 2.2</w:t>
      </w:r>
    </w:p>
    <w:p>
      <w:r>
        <w:t>Les autorités cantonales de surveillance tranchent en principe définitivement les litiges qui ont trait à l'estimation des biens saisis. Le Tribunal fédéral ne peut être requis d'intervenir en cette matière qu'en cas d'abus ou d'excès du pouvoir d'appréciation, à savoir notamment lorsque l'autorité cantonale a retenu des critères inappropriés ou n'a pas tenu compte de circonstances pertinentes ( ATF 132 III 281 consid. 2.1; 120 III 79 consid. 1 et les références).</w:t>
      </w:r>
    </w:p>
    <w:p>
      <w:r>
        <w:t>L' art. 126 LP pose le principe de l'offre suffisante ou de la couverture: l'adjudication ne peut intervenir que si l'offre la plus élevée est supérieure à la somme des créances garanties par gage, exigibles ou non, qui ont été revendiquées avec succès et qui sont préférables à celles du poursuivant (GILLIÉRON, op. cit., n. 29 ad art. 126 LP ; BETTSCHART, op. cit., n. 2 ad art. 126 LP ). Pour supprimer le risque de vente à vil prix, l'office des poursuites peut également fixer dans les conditions de vente une mise à prix indicative, soit une somme à partir de laquelle il espère recevoir des offres, voire une mise à prix, soit une somme à partir de laquelle les offres sont recevables (GILLIÉRON, op. cit., n. 10 ad art. 126 LP ; BETTSCHART, op. cit., n. 4 ad art. 126 LP ). En l'espèce, l'autorité cantonale de surveillance ne saurait avoir commis un abus ou un excès de son pouvoir d'appréciation en confirmant l'application d'un de ces modes de réalisation, soit la mise à prix, mode de réalisation qui peut, de cas en cas, être approprié et répondre au principe général selon lequel l'office des poursuites doit concilier - et sauvegarder - autant que possible les intérêts en cause (GILLIÉRON, op. cit., n. 10 ad art. 126 LP ). Les trois statues constituant, à dire d'experts, des contrefaçons non autorisées qui n'ont fait l'objet ni de ventes publiques ni d'exposition dans des musées, on ne voit pas en quoi l'autorité cantonale de surveillance aurait, dans le cas particulier, commis un tel abus ou excès en confirmant la décision de l'office de fixer une mise à prix de 1'500 fr., correspondant à la couverture partielle des frais, émoluments et débours connus jusqu'alors. En tous les cas, le montant de 25'000 USD articulé par les auteurs de l'expertise de 2002 ne s'imposait pas, faute par ces derniers d'avoir, comme demandé par l'office, explicité les termes de leur estimation.</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136 III 552 consid. 4.2; 135 V 2 consid. 1.3).</w:t>
      </w:r>
    </w:p>
    <w:p>
      <w:r>
        <w:rPr>
          <w:b/>
        </w:rPr>
        <w:t>E. 3.2</w:t>
      </w:r>
    </w:p>
    <w:p>
      <w:r>
        <w:t>La recourante soutient qu'en retenant une mise à prix de 1'500 fr. par statue et en écartant, sans autre motivation, la valeur de 25'000 USD retenue dans l'expertise de 2002, "l'office des poursuites" aurait gravement méconnu l'interdiction de l'arbitraire. En tant qu'il est ainsi dirigé contre l'office uniquement, le grief est irrecevable au regard de l' art. 75 al. 1 LTF . Au demeurant, même censé adressé implicitement à l'autorité cantonale de surveillance, il ne pourrait qu'être rejeté pour le motif qu'il n'est pas arbitraire, au sens de la jurisprudence susmentionnée, d'écarter une expertise formulée en termes peu explicites que ses auteurs, bien qu'invités à le faire, n'ont pas daigné préciser (cf. consid. 2.2 ci-dessus in fine).</w:t>
      </w:r>
    </w:p>
    <w:p>
      <w:r>
        <w:rPr>
          <w:b/>
        </w:rPr>
        <w:t>E. 4</w:t>
      </w:r>
    </w:p>
    <w:p>
      <w:r>
        <w:t>Il résulte de ce qui précède que le recours doit être rejeté, dans la mesure de sa recevabilité, aux frais de son auteur ( art. 66 al. 1 LTF ).</w:t>
      </w:r>
    </w:p>
    <w:p>
      <w:r>
        <w:t>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