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550/2021 vom 17. August 2021</w:t>
      </w:r>
    </w:p>
    <w:p>
      <w:r>
        <w:t>Bundesgericht, 2021-08-17, FR</w:t>
      </w:r>
    </w:p>
    <w:p>
      <w:r>
        <w:rPr>
          <w:b/>
        </w:rPr>
        <w:t xml:space="preserve">Quelle: </w:t>
      </w:r>
      <w:r>
        <w:t>https://mcp.opencaselaw.ch/entscheid/bger_5A_550_2021</w:t>
      </w:r>
    </w:p>
    <w:p>
      <w:r>
        <w:t>FR: TF 5A 550/2021 du 17 août 2021</w:t>
      </w:r>
    </w:p>
    <w:p>
      <w:r>
        <w:t>IT: TF 5A 550/2021 del 17 agosto 2021</w:t>
      </w:r>
    </w:p>
    <w:p>
      <w:pPr>
        <w:pStyle w:val="Heading2"/>
      </w:pPr>
      <w:r>
        <w:t>Regeste</w:t>
      </w:r>
    </w:p>
    <w:p>
      <w:r>
        <w:t>opposition au séquestre | Droit des poursuites et faillites</w:t>
      </w:r>
    </w:p>
    <w:p>
      <w:pPr>
        <w:pStyle w:val="Heading2"/>
      </w:pPr>
      <w:r>
        <w:t>Erwägungen</w:t>
      </w:r>
    </w:p>
    <w:p>
      <w:r>
        <w:rPr>
          <w:b/>
        </w:rPr>
        <w:t>E. 1</w:t>
      </w:r>
    </w:p>
    <w:p>
      <w:r>
        <w:t>Par décision du 12 février 2021, le Tribunal de première instance a notamment rejeté l'opposition au séquestre formée le 5 décembre 2019 par A.________ contre l'ordonnance de séquestre rendue le 25 septembre 2017. Par arrêt du 20 mai 2021, la Chambre civile de la Cour de justice du canton de Genève a rejeté le recours déposé le 26 février 2021 par l'opposant.</w:t>
      </w:r>
    </w:p>
    <w:p>
      <w:r>
        <w:rPr>
          <w:b/>
        </w:rPr>
        <w:t>E. 2</w:t>
      </w:r>
    </w:p>
    <w:p>
      <w:r>
        <w:t>Par acte du 2 juillet 2021, A.________ exerce un recours en matière civile au Tribunal fédéral.</w:t>
      </w:r>
    </w:p>
    <w:p>
      <w:r>
        <w:rPr>
          <w:b/>
        </w:rPr>
        <w:t>E. 3</w:t>
      </w:r>
    </w:p>
    <w:p>
      <w:r>
        <w:t>La décision sur opposition au séquestre rendue par l'autorité judiciaire supérieure ( art. 278 al. 3 LP ) porte sur des mesures provisionnelles au sens de l' art. 98 LTF ( ATF 135 III 232 consid. 1.2; arrêt 5A_593/2020 du 17 février 2021 consid. 2), de sorte que la partie recourante ne peut dénoncer qu'une violation de ses droits constitutionnels ( ATF 134 II 349 consid. 3; 133 III 638 consid. 2). En l'espèce, le recourant semble avoir méconnu la cognition du Tribunal fédéral dans le cas d'espèce et se plaint de ce que l'autorité précédente n'a pas " profité de son pouvoir d'appréciation " et " n'a pas respecté la jurisprudence et a violé les droits de la défense ". Or, il ne s'agit pas de droits constitutionnels au sens de l' art. 98 LTF , invoqués de surcroît de manière conforme à l' art. 106 al. 2 LTF ( ATF 142 III 364 consid. 2.4; 135 III 232 consid. 1.2 et la jurisprudence citée), en sorte que ces critiques sont d'emblée irrecevables. Certes, le recourant emploie à plusieurs reprises le mot " arbitraire ", mais cette simple mention dans le texte, sans expliciter de manière claire et détaillée un tel grief, est manifestement insuffisante et la critique doit également être d'emblée déclarée irrecevable ( ATF 135 III 232 consid. 1.2; 134 II 349 consid. 3 et la jurisprudence citée).</w:t>
      </w:r>
    </w:p>
    <w:p>
      <w:r>
        <w:rPr>
          <w:b/>
        </w:rPr>
        <w:t>E. 4</w:t>
      </w:r>
    </w:p>
    <w:p>
      <w:r>
        <w:t>En conclusion, le présent recours doit être déclaré irrecevable par voie de procédure simplifiée au sens de l' art. 108 al. 1 let. b LTF . Les frais judiciaires, arrêtés à 500 fr., sont mis à la charge du recourant qui succombe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