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5A_550/2020 vom 8. Juli 2020</w:t>
      </w:r>
    </w:p>
    <w:p>
      <w:r>
        <w:t>Bundesgericht, 2020-07-08, FR</w:t>
      </w:r>
    </w:p>
    <w:p>
      <w:r>
        <w:rPr>
          <w:b/>
        </w:rPr>
        <w:t xml:space="preserve">Quelle: </w:t>
      </w:r>
      <w:r>
        <w:t>https://mcp.opencaselaw.ch/entscheid/bger_5A_550_2020</w:t>
      </w:r>
    </w:p>
    <w:p>
      <w:r>
        <w:t>FR: TF 5A_550/2020 du 8 juillet 2020</w:t>
      </w:r>
    </w:p>
    <w:p>
      <w:r>
        <w:t>IT: TF 5A_550/2020 del 8 luglio 2020</w:t>
      </w:r>
    </w:p>
    <w:p>
      <w:pPr>
        <w:pStyle w:val="Heading2"/>
      </w:pPr>
      <w:r>
        <w:t>Erwägungen</w:t>
      </w:r>
    </w:p>
    <w:p>
      <w:r>
        <w:rPr>
          <w:b/>
        </w:rPr>
        <w:t>E. 1</w:t>
      </w:r>
    </w:p>
    <w:p>
      <w:r>
        <w:t>Par arrêt du 25 mai 2020, la Cour des mesures de protection de l'enfant et de l'adulte du Tribunal cantonal du canton de Neuchâtel a partiellement admis le recours interjeté le 18 mars 2019 par A.________ à l'encontre de la décision de mesures provisionnelles rendue le 26 février 2019 par l'Autorité de protection de l'enfant et de l'adulte des Montagnes et du Val-de-Ruz, rejeté le recours formé le 8 mars 2019 par B.________ à l'encontre de la même décision, attribué à la mère, A.________, l'autorité parentale exclusive sur l'enfant C.________, fixé provisoirement le droit de visite du père, B.________, sur sa fille C.________, invité le père à fournir à la mère suffisamment à l'avance, mais au minimum deux semaines avant le jour de son arrivée, ses dates de vacances en Europe, et ordonné à la mère de respecter le droit de visite du père sur l'enfant, sous la menace de la peine d'amende prévue à l' art. 292 CP .</w:t>
      </w:r>
    </w:p>
    <w:p>
      <w:r>
        <w:rPr>
          <w:b/>
        </w:rPr>
        <w:t>E. 2</w:t>
      </w:r>
    </w:p>
    <w:p>
      <w:r>
        <w:t>Par acte du 2 juillet 2020, A.________ exerce un recours en matière civile au Tribunal fédéral, concluant en substance à la suspension du droit de visite du père, subsidiairement à un droit de visite surveillé et conditionné au dépôt du passeport du père, aux dates annoncées un an à l'avance, et au complétement de l'arrêt en ce sens que le père est astreint à contribuer à l'entretien de sa fille.</w:t>
      </w:r>
    </w:p>
    <w:p>
      <w:r>
        <w:rPr>
          <w:b/>
        </w:rPr>
        <w:t>E. 3</w:t>
      </w:r>
    </w:p>
    <w:p>
      <w:r>
        <w:t>Le recours est dirigé contre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w:t>
      </w:r>
    </w:p>
    <w:p>
      <w:r>
        <w:t>En l'espèce, la recourante a manifestement méconnu la nature de la décision entreprise, de sorte qu'elle se limite à déclarer, en introduction à sa motivation, que l'arrêt déféré " viole le droit par défaut de motivation / déni de justice ", " par un refus arbitraire et non motivé de prendre en considération les directives de l'OFJ en matière de prévention des enlèvements internationaux ", " par une lourde négligence du principe de précaution ", " par la violation de la révision du CC " et " par un excès du pouvoir d'appréciation ". Elle présente ensuite, sur vingt pages, sa propre appréciation de la cause, qu'elle tente de substituer à la motivation de l'arrêt querellé. Ce faisant, la recourante, qui cite certes en partie des droits fondamentaux, ne les explicite pas plus avant,</w:t>
      </w:r>
    </w:p>
    <w:p>
      <w:r>
        <w:t>a fortiori elle ne démontre pas de manière claire et précise que le raisonnement de la décision cantonale querellée serait contraire à l'un de ses droits fondamentaux ou à la Constitution. La simple énonciation d'un droit de nature constitutionnelle n'est à cet égard pas suffisante. Il s'ensuit que le recours ne satisfait pas aux exigences accrues de motivation posées par les art. 106 al. 2 LTF , par renvoi de l' art. 116 LTF .</w:t>
      </w:r>
    </w:p>
    <w:p>
      <w:r>
        <w:rPr>
          <w:b/>
        </w:rPr>
        <w:t>E. 4</w:t>
      </w:r>
    </w:p>
    <w:p>
      <w:r>
        <w:t>En définitive, le recours doit être déclaré irrecevable selon la procédure simplifiée de l' art. 108 al. 1 let. b LTF . Les frais judiciaires, arrêtés à 500 fr., sont mis à la charge de la recourante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