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54/2023 vom 3. Februar 2023</w:t>
      </w:r>
    </w:p>
    <w:p>
      <w:r>
        <w:t>Bundesgericht, 2023-02-03, FR</w:t>
      </w:r>
    </w:p>
    <w:p>
      <w:r>
        <w:rPr>
          <w:b/>
        </w:rPr>
        <w:t xml:space="preserve">Quelle: </w:t>
      </w:r>
      <w:r>
        <w:t>https://mcp.opencaselaw.ch/entscheid/bger_5A_54_2023</w:t>
      </w:r>
    </w:p>
    <w:p>
      <w:r>
        <w:t>FR: TF 5A 54/2023 du 3 février 2023</w:t>
      </w:r>
    </w:p>
    <w:p>
      <w:r>
        <w:t>IT: TF 5A 54/2023 del 3 febbraio 2023</w:t>
      </w:r>
    </w:p>
    <w:p>
      <w:pPr>
        <w:pStyle w:val="Heading2"/>
      </w:pPr>
      <w:r>
        <w:t>Regeste</w:t>
      </w:r>
    </w:p>
    <w:p>
      <w:r>
        <w:t>restitution de l'effet suspensif (curatelle)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19 décembre 2022, la Présidente de l'Autorité de recours en matière de protection de l'enfant et de l'adulte du Tribunal cantonal du canton du Valais a rejeté la requête de restitution de l'effet suspensif formée par A.________ à l'appui du recours déposé contre la décision de l'APEA des Coteaux du Soleil et de Nendaz instituant en sa faveur une curatelle de représentation et de gestion du patrimoine.</w:t>
      </w:r>
    </w:p>
    <w:p>
      <w:r>
        <w:rPr>
          <w:b/>
        </w:rPr>
        <w:t>E. 2</w:t>
      </w:r>
    </w:p>
    <w:p>
      <w:r>
        <w:t>Par écriture expédiée le 18 janvier 2023, la personne concernée forme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l'art. 72 al. 2 let. b ch. 6 LTF. Il est superflu d'examiner les autres conditions de recevabilité, ce procédé étant voué à l'échec.</w:t>
      </w:r>
    </w:p>
    <w:p>
      <w:r>
        <w:rPr>
          <w:b/>
        </w:rPr>
        <w:t>E. 4</w:t>
      </w:r>
    </w:p>
    <w:p>
      <w:r>
        <w:t>La décision entreprise porte sur des mesures provisionnelles au sens de l' art. 98 LTF ( ATF 134 II 192 consid. 1.5), de sorte que le recourant ne peut dénoncer qu'une violation de ses droits constitutionnels, moyen qu'il doit motiver conformément à l' art. 106 al. 2 LTF ( ATF 135 III 232 consid. 1.2 et la jurisprudence citée). Cette exigence n'est nullement satisfaite en l'occurrence. Le recourant ne soulève aucun grief de nature constitutionnelle; en outre, il ne s'en prend pas à l'objet de la décision attaquée ( ATF 142 I 155 consid. 4.4.2 et les arrêts cités) - c'est-à-dire le refus de restituer l'effet suspensif au recours cantonal -, mais conteste la mesure de curatelle elle-même, qu'il qualifie d'" illégale " et de " totalement disproportionnée ".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sans percevoir des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