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5A_549/2020 vom 19. Mai 2021</w:t>
      </w:r>
    </w:p>
    <w:p>
      <w:r>
        <w:t>Bundesgericht, 2021-05-19, FR</w:t>
      </w:r>
    </w:p>
    <w:p>
      <w:r>
        <w:rPr>
          <w:b/>
        </w:rPr>
        <w:t xml:space="preserve">Quelle: </w:t>
      </w:r>
      <w:r>
        <w:t>https://mcp.opencaselaw.ch/entscheid/bger_5A_549_2020</w:t>
      </w:r>
    </w:p>
    <w:p>
      <w:r>
        <w:t>FR: TF 5A_549/2020 du 19 mai 2021</w:t>
      </w:r>
    </w:p>
    <w:p>
      <w:r>
        <w:t>IT: TF 5A_549/2020 del 19 maggio 2021</w:t>
      </w:r>
    </w:p>
    <w:p>
      <w:pPr>
        <w:pStyle w:val="Heading2"/>
      </w:pPr>
      <w:r>
        <w:t>Erwägungen</w:t>
      </w:r>
    </w:p>
    <w:p>
      <w:r>
        <w:rPr>
          <w:b/>
        </w:rPr>
        <w:t>E. 1</w:t>
      </w:r>
    </w:p>
    <w:p>
      <w:r>
        <w:t>Déposé en temps utile (art. 46 al. 1 let. b et 100 al. 1 LTF) et dans la forme légale ( art. 42 al. 1 LTF ), le recours est dirigé contre une décision finale ( art. 90 LTF ) rendue sur recours par une autorité supérieure statuant en dernière instance cantonale ( art. 75 LTF ), dans une affaire civile ( art. 72 al. 1 LTF ), de nature pécuniaire. La valeur litigieuse atteint le seuil minimal requis de 30'000 fr. (art. 51 al. 1 let. a, 51 al. 4 et 74 al. 1 let. b LTF). Le recourant, qui a participé à la procédure devant l'autorité précédente et a un intérêt digne de protection à la modification ou l'annulation de la décision attaquée, a qualité pour recourir ( art. 76 al. 1 LTF ). Le recours en matière civile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w:t>
      </w:r>
    </w:p>
    <w:p>
      <w:r>
        <w:rPr>
          <w:b/>
        </w:rPr>
        <w:t>E. 2.3</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t>En l'espèce, le recourant allègue pour la première fois dans son recours au Tribunal fédéral, en s'appuyant sur de nouveaux moyens de preuve, ne plus avoir versé la totalité de la contribution d'entretien en faveur de l'enfant depuis le 1er août 2019, faute de moyens. Il expose que ces faits sont recevables, dès lors qu'ils découlent directement de la décision attaquée et n'étaient pas pertinents devant la cour cantonale. Contrairement à ce qu'affirme le recourant, l'on ne peut à l'évidence pas soutenir que ces allégués et moyens de preuve nouveaux résulteraient de l'arrêt entrepris. Dès lors que la présente procédure a pour objet une modification du jugement de divorce dans laquelle celui-ci requiert notamment que la contribution d'entretien allouée à sa fille soit réduite à partir d'une date déterminée, il lui incombait d'alléguer et de prouver en instance cantonale tous les faits pertinents pour fixer le point de départ de la nouvelle contribution. Faute pour le recourant de démontrer en quoi il aurait été confronté à des développements imprévisibles de la part des juges cantonaux, ses nouveaux allégués et nouveaux moyens de preuve sont irrecevables.</w:t>
      </w:r>
    </w:p>
    <w:p>
      <w:r>
        <w:rPr>
          <w:b/>
        </w:rPr>
        <w:t>E. 3</w:t>
      </w:r>
    </w:p>
    <w:p>
      <w:r>
        <w:t>Le recourant ne conteste pas le calcul des nouvelles contributions d'entretien, mais reproche uniquement à la cour cantonale d'avoir considéré que leur modification devait prendre effet le 1er juillet 2020, soit le premier du mois suivant la notification de l'arrêt contesté aux parties.</w:t>
      </w:r>
    </w:p>
    <w:p>
      <w:r>
        <w:rPr>
          <w:b/>
        </w:rPr>
        <w:t>E. 3.1</w:t>
      </w:r>
    </w:p>
    <w:p>
      <w:r>
        <w:t>Le juge de l'action en modification d'un jugement de divorce peut fixer le moment à partir duquel son jugement prend effet selon son appréciation ( art. 4 CC ) et en tenant compte des circonstances du cas concret ( ATF 117 II 368 consid. 4c; arrêts 5A_964/2018 du 26 juin 2019 consid. 4.1, 5A_651/2014 du 27 janvier 2015 consid. 4.1.2, 5A_760/2012 du 27 février 2013 consid. 6). Le Tribunal fédéral n'intervient que si la juridiction cantonale s'est écartée sans raison des règles établies par la jurisprudence et la doctrine ou si elle s'est appuyée sur des faits qui, dans le cas particulier, ne devaient jouer aucun rôle ou si, au contraire, elle n'a pas tenu compte d'éléments qui auraient absolument dû être pris en considération ( ATF 133 III 201 consid. 5.4; 132 III 178 consid. 5.1; 130 III 571 consid. 4.3 et les arrêts cités). En principe, la jurisprudence retient la date du dépôt de la demande ( ATF 117 II 368 consid. 4c/aa; 115 II 309 consid. 3b; arrêts 5A_964/2018 précité consid. 4.1, 5A_651/2014 précité consid. 4.1.2, 5A_760/2012 précité consid. 6).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 ATF 117 II 368 consid. 4c; arrêts 5A_230/2019 du 31 janvier 2020 consid. 6.1, 5A_964/2018 précité consid. 4.1, 5A_651/2014 précité consid. 4.1.2, 5A_760/2012 précité consid. 6). Cette dernière situation suppose que le crédirentier, sur la base d'indices objectivement sérieux, ait pu compter pendant la durée de la procédure avec le maintien du jugement d'origine; il s'agit ainsi d'un régime d'exception (arrêts 5A_964/2018 précité consid. 4.1, 5A_461/2011 du 14 octobre 2011 consid. 5.1, publié in SJ 2012 I p. 148 et les arrêts cités).</w:t>
      </w:r>
    </w:p>
    <w:p>
      <w:r>
        <w:rPr>
          <w:b/>
        </w:rPr>
        <w:t>E. 3.2</w:t>
      </w:r>
    </w:p>
    <w:p>
      <w:r>
        <w:t>La cour cantonale a considéré qu'il se justifiait en l'espèce de prévoir que la modification du jugement de divorce prendrait effet le 1er juillet 2020 seulement, compte tenu de la situation déficitaire de l'ex-épouse et de sa fille et du fait qu'en première instance l'ex-épouse avait obtenu gain de cause et pouvait donc espérer que les contributions d'entretien fixées par jugement de divorce du 6 novembre 2017 et arrêt du 23 avril 2018 perdureraient.</w:t>
      </w:r>
    </w:p>
    <w:p>
      <w:r>
        <w:rPr>
          <w:b/>
        </w:rPr>
        <w:t>E. 3.3</w:t>
      </w:r>
    </w:p>
    <w:p>
      <w:r>
        <w:t>Dans un premier grief, le recourant soutient en substance que la fixation du dies a quo de la modification du jugement de divorce à une date ultérieure à celle où sa compagne et ses enfants sont arrivés en Suisse reposerait sur un établissement manifestement inexact des faits. Il expose que la demande qu'il avait déposée le 6 mars 2020 [recte: 2019] apportait des éléments sérieux et concrets justifiant une modification, de sorte que son ex-épouse ne pouvait pas ignorer les risques que les contributions d'entretien allaient être réduites de manière importante, au minimum depuis le mois d'août 2019. Le fait qu'elle avait obtenu gain de cause en première instance ne permettait pas de remettre en cause cette appréciation puisque le recourant avait déposé un appel et introduit une deuxième demande pour le cas où l'appel serait rejeté. Par conséquent, la cour cantonale avait retenu de manière arbitraire que son ex-épouse disposait d'indices objectivement sérieux lui permettant de compter sur le maintien du jugement d'origine. Par surabondance de motifs, le recourant précise qu'au vu du paiement partiel de la contribution d'entretien, la décision de fixer les modifications au 1er août 2019 était sans réelle incidence pour son ex-épouse qui n'avait rien à lui rembourser, de sorte que les motifs de l'arrêt contesté tombaient à faux. Il ajoute que le résultat auquel la cour cantonale arrive est choquant et arbitraire au vu des " pensions " concernées, qui le laisse avec une énorme dette. Dans un deuxième grief, le recourant fait valoir une violation de l' art. 286 al. 1 CC dans la mesure où, selon lui, il n'existerait pas en l'espèce de motifs objectifs permettant de s'écarter de la règle générale posée par cette disposition selon laquelle le point de départ d'une modification est fixé au dépôt de la demande.</w:t>
      </w:r>
    </w:p>
    <w:p>
      <w:r>
        <w:rPr>
          <w:b/>
        </w:rPr>
        <w:t>E. 3.4</w:t>
      </w:r>
    </w:p>
    <w:p>
      <w:r>
        <w:t>En tant que le recourant expose que la cour cantonale a procédé a un établissement arbitraire des faits au motif que son ex-épouse n'aurait rien à lui rembourser vu le paiement partiel de la contribution, il fonde son argument sur des faits nouveaux irrecevables (cf. supra consid. 2.3). Il résulte de l'arrêt querellé que la cour cantonale a d'abord rappelé la règle selon laquelle il était possible, en équité, de retenir une date ultérieure à celle de l'introduction de la demande pour déterminer le dies a quo d'une modification du jugement de divorce, en particulier lorsqu'une restitution de contributions allouées par ce jugement et utilisées pendant la durée de la procédure ne peut pas être exigée. Sur cette base, elle a ensuite jugé qu'en l'espèce la situation déficitaire de l'ex-épouse et de sa fille, d'une part, - dont il appert que les contributions d'entretien allouées ont manifestement dû être utilisées pour couvrir leurs besoins - et le fait que l'ex-épouse pouvait escompter que la cour cantonale confirmerait ces contributions (vitales) dès lors qu'un premier juge lui avait déjà donné raison, d'autre part, permettaient d'arrêter équitablement la date de la modification à une date ultérieure. Ce faisant, elle a donc tenu compte, conformément à la jurisprudence, des circonstances du cas concret, principalement du fait que la situation déficitaire de l'intimée et de sa fille justifiait de protéger leur expectative de pouvoir compter avec les contributions d'entretien allouées dans la procédure de divorce et qui n'avaient pas été revues en première instance. Compte tenu du pouvoir d'appréciation dont jouit le juge de l'action en modification d'un jugement de divorce pour arrêter le moment à partir duquel son jugement prend effet (cf. supra consid. 3.1), il n'apparaît pas que les juges cantonaux ont abusé de ce pouvoir et ont violé le droit fédéral en arrêtant le dies a quo de la modification de la contribution d'entretien. Il suit de là que mal fondée, la critique du recourant doit être rejetée.</w:t>
      </w:r>
    </w:p>
    <w:p>
      <w:r>
        <w:rPr>
          <w:b/>
        </w:rPr>
        <w:t>E. 4</w:t>
      </w:r>
    </w:p>
    <w:p>
      <w:r>
        <w:t>Au vu de ce qui précède, le recours est rejeté dans la mesure de sa recevabilité, aux frais du recourant ( art. 66 al. 1 LTF ), qui versera en outre une indemnité de dépens à l'intimée ( art. 68 al. 1 et 2 LTF ).</w:t>
      </w:r>
    </w:p>
    <w:p>
      <w:r>
        <w:t>Les deux parties sollicitent le bénéfice de l'assistance judiciaire. Les conditions prévues à l' art. 64 al. 1 et 2 LTF sont remplies en l'espèce. Puisque l'intimée ne supporte pas les frais judiciaires, sa demande d'assistance judiciaire est sans objet ( ATF 109 Ia 5 consid. 5; arrêts 5A_403/2019 du 12 mars 2020 consid. 5.2, 5A_154/2019 du 1er octobre 2019 consid. 6.2 et la référence) en tant qu'elle porte sur ce point. Tel n'est en revanche pas le cas en tant qu'elle concerne la désignation d'un avocat d'office et l'indemnisation de celui-ci. En effet, bien que le recourant ait été condamné à verser des dépens à l'intimée, il y a lieu de considérer que celle-ci ne sera pas en mesure de les recouvrer, compte tenu de la situation financière du recourant. L'avocate de l'intimée sera dès lors directement indemnisée par la Caisse du Tribunal fédéral (arrêts 5A_403/2019 et 5A_154/2019 précités; cf. ég. ATF 122 I 322 consid. 3d). Les parties sont rendues attentives au fait qu'elles sont tenues de rembourser ultérieurement la Caisse du Tribunal fédéral si elles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