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548/2022 vom 22. Juli 2022</w:t>
      </w:r>
    </w:p>
    <w:p>
      <w:r>
        <w:t>Bundesgericht, 2022-07-22, DE</w:t>
      </w:r>
    </w:p>
    <w:p>
      <w:r>
        <w:rPr>
          <w:b/>
        </w:rPr>
        <w:t xml:space="preserve">Quelle: </w:t>
      </w:r>
      <w:r>
        <w:t>https://mcp.opencaselaw.ch/entscheid/bger_5A_548_2022</w:t>
      </w:r>
    </w:p>
    <w:p>
      <w:r>
        <w:t>FR: TF 5A 548/2022 du 22 juillet 2022</w:t>
      </w:r>
    </w:p>
    <w:p>
      <w:r>
        <w:t>IT: TF 5A 548/2022 del 22 luglio 2022</w:t>
      </w:r>
    </w:p>
    <w:p>
      <w:pPr>
        <w:pStyle w:val="Heading2"/>
      </w:pPr>
      <w:r>
        <w:t>Regeste</w:t>
      </w:r>
    </w:p>
    <w:p>
      <w:r>
        <w:t>Genehmigung eines Berichtes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kurz gehaltene Beschwerde besteht aus am Anfechtungsgegenstand, nämlich der Berichtsgenehmigung, vorbeigehenden Fragen (wieso man die Beiständin behalten müsse, wenn sie nichts tue; ob es normal sei, wenn diese lüge; wieso das Obergericht die Beistandschaft nicht aufgehoben habe; wieso das Familiengericht das rechtliche Gehör verweigert habe) und enthält keine sachgerichtete Auseinandersetzung mit den ausführlichen Erwägungen des angefochtenen Entscheides. Es ist weder dargetan noch überhaupt ersichtlich, inwiefern dieser Recht verletzen soll.</w:t>
      </w:r>
    </w:p>
    <w:p>
      <w:r>
        <w:rPr>
          <w:b/>
        </w:rPr>
        <w:t>E. 3</w:t>
      </w:r>
    </w:p>
    <w:p>
      <w:r>
        <w:t>Nach dem Gesagten ist die Beschwerde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