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5A_548/2011 vom 5. Dezember 2011</w:t>
      </w:r>
    </w:p>
    <w:p>
      <w:r>
        <w:t>Bundesgericht, 2011-12-05, FR</w:t>
      </w:r>
    </w:p>
    <w:p>
      <w:r>
        <w:rPr>
          <w:b/>
        </w:rPr>
        <w:t xml:space="preserve">Quelle: </w:t>
      </w:r>
      <w:r>
        <w:t>https://mcp.opencaselaw.ch/entscheid/bger_5A_548_2011</w:t>
      </w:r>
    </w:p>
    <w:p>
      <w:r>
        <w:t>FR: TF 5A_548/2011 du 5 décembre 2011</w:t>
      </w:r>
    </w:p>
    <w:p>
      <w:r>
        <w:t>IT: TF 5A_548/2011 del 5 dicembre 2011</w:t>
      </w:r>
    </w:p>
    <w:p>
      <w:pPr>
        <w:pStyle w:val="Heading2"/>
      </w:pPr>
      <w:r>
        <w:t>Erwägungen</w:t>
      </w:r>
    </w:p>
    <w:p>
      <w:r>
        <w:rPr>
          <w:b/>
        </w:rPr>
        <w:t>E. 1.1</w:t>
      </w:r>
    </w:p>
    <w:p>
      <w:r>
        <w:t>Interjeté dans le délai (art. 46 al. 1 let. b et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1.2</w:t>
      </w:r>
    </w:p>
    <w:p>
      <w:r>
        <w:t>Le recours n'étant recevable que contre la décision de l'autorité cantonale supérieure de surveillance ( art. 75 al. 1 LTF ), seules sont admissibles les conclusions tendant à la modification ou à l'annulation de cette décision.</w:t>
      </w:r>
    </w:p>
    <w:p>
      <w:r>
        <w:rPr>
          <w:b/>
        </w:rPr>
        <w:t>E. 1.3</w:t>
      </w:r>
    </w:p>
    <w:p>
      <w:r>
        <w:t>Le Tribunal fédéral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Par ailleurs, il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w:t>
      </w:r>
    </w:p>
    <w:p>
      <w:r>
        <w:rPr>
          <w:b/>
        </w:rPr>
        <w:t>E. 2.1</w:t>
      </w:r>
    </w:p>
    <w:p>
      <w:r>
        <w:t>En principe, la notification irrégulière du commandement de payer n'est pas frappée de nullité absolue; l'acte est simplement annulable dans le délai de plainte de 10 jours de l' art. 17 al. 2 LP .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 ATF 112 III 81 consid. 2).</w:t>
      </w:r>
    </w:p>
    <w:p>
      <w:r>
        <w:rPr>
          <w:b/>
        </w:rPr>
        <w:t>E. 2.2</w:t>
      </w:r>
    </w:p>
    <w:p>
      <w:r>
        <w:t>Selon les constatations de l'autorité cantonale inférieure de surveillance (décision du 1er février 2010 p. 5), non remises en cause par l'autorité supérieure, aucune plainte n'a été déposée dans le délai qui a couru du 25 novembre au 4 décembre 2009. Les autorités cantonales de surveillance ont cependant estimé que l'office avait encore le droit le 1er décembre 2009, en vertu de l' art. 17 al. 4 LP , de révoquer la notification viciée du commandement de payer effectuée le 17 août 2009 pour procéder à une nouvelle notification.</w:t>
      </w:r>
    </w:p>
    <w:p>
      <w:r>
        <w:t>Il va de soi, contrairement à ce que soutient le recourant, que la décision susceptible de plainte ( art. 17 al. 1 et 2 LP ) ou de nouvel examen ( art. 17 al. 4 LP ) ne pouvait être, en l'occurrence, que la notification originaire du 17 août 2009, entachée d'une irrégularité qui pouvait éventuellement être corrigée par un tel moyen, la seconde notification du 24 novembre 2009, opérée à toutes fins utiles en bonnes mains, étant a priori censée valable.</w:t>
      </w:r>
    </w:p>
    <w:p>
      <w:r>
        <w:t>A l'instar de l'autorité de surveillance statuant sur une plainte contre la notification, l'office qui procède à un nouvel examen au sens de l' art. 17 al. 4 LP ne doit ordonner une nouvelle notification que si le débiteur peut se prévaloir d'un intérêt digne de protection (cf. consid. 2.1 ci-dessus). En l'espèce, à réception de la copie du commandement de payer le 24 novembre 2009 en mains de son mandataire, la poursuivie a pu avoir une connaissance telle du contenu dudit acte qu'une nouvelle notification n'aurait rien apporté de plus. En outre, la date précitée étant considérée par la jurisprudence susmentionnée comme le dies a quo des délais de plainte ( art. 17 LP ) et d'opposition ( art. 74 al. 1 LP ), la poursuivie s'est trouvée en mesure de sauvegarder ses droits. L'office n'avait donc pas à annuler la notification du 17 août 2009 pour en ordonner une nouvelle.</w:t>
      </w:r>
    </w:p>
    <w:p>
      <w:r>
        <w:t>En confirmant une décision prise en contradiction avec les règles susmentionnées, l'autorité cantonale supérieure de surveillance a violé le droit fédéral.</w:t>
      </w:r>
    </w:p>
    <w:p>
      <w:r>
        <w:rPr>
          <w:b/>
        </w:rPr>
        <w:t>E. 3</w:t>
      </w:r>
    </w:p>
    <w:p>
      <w:r>
        <w:t>En conséquence, le recours doit être admis, le jugement attaqué annulé et, conformément à la conclusion subsidiaire du recours, la cause renvoyée à l'autorité précédente pour nouvelle décision dans le sens de ce qui précède.</w:t>
      </w:r>
    </w:p>
    <w:p>
      <w:r>
        <w:t>L'intimée, qui succombe, doit assumer la charge des frais judiciaires ( art. 66 al. 1 LTF ) et des dépens dus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